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28"/>
        </w:rPr>
      </w:pPr>
      <w:r>
        <w:rPr>
          <w:rFonts w:hint="eastAsia" w:ascii="黑体" w:hAnsi="黑体" w:eastAsia="黑体"/>
          <w:sz w:val="32"/>
          <w:szCs w:val="28"/>
        </w:rPr>
        <w:t>《团扇》“浙江制造”标准</w:t>
      </w:r>
    </w:p>
    <w:p>
      <w:pPr>
        <w:spacing w:line="500" w:lineRule="exact"/>
        <w:jc w:val="center"/>
        <w:rPr>
          <w:rFonts w:ascii="黑体" w:hAnsi="黑体" w:eastAsia="黑体"/>
          <w:sz w:val="32"/>
          <w:szCs w:val="28"/>
        </w:rPr>
      </w:pPr>
      <w:r>
        <w:rPr>
          <w:rFonts w:hint="eastAsia" w:ascii="黑体" w:hAnsi="黑体" w:eastAsia="黑体"/>
          <w:sz w:val="32"/>
          <w:szCs w:val="28"/>
        </w:rPr>
        <w:t>讨论搞编制说明</w:t>
      </w:r>
    </w:p>
    <w:p>
      <w:pPr>
        <w:pStyle w:val="13"/>
        <w:numPr>
          <w:ilvl w:val="0"/>
          <w:numId w:val="0"/>
        </w:numPr>
        <w:spacing w:before="312" w:after="312"/>
        <w:jc w:val="left"/>
        <w:rPr>
          <w:rFonts w:hAnsi="黑体"/>
          <w:sz w:val="24"/>
          <w:szCs w:val="24"/>
        </w:rPr>
      </w:pPr>
      <w:r>
        <w:rPr>
          <w:rFonts w:hint="eastAsia" w:hAnsi="黑体"/>
          <w:sz w:val="24"/>
          <w:szCs w:val="24"/>
        </w:rPr>
        <w:t>1  项目背景</w:t>
      </w:r>
    </w:p>
    <w:p>
      <w:pPr>
        <w:tabs>
          <w:tab w:val="left" w:pos="2160"/>
        </w:tabs>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团扇属于非物质文化遗产保护类别，扇文化是中国传统文化的重要分支，其发展历史源远流长，在晋人崔豹的著作《古今注》中，就提及“舜作五明扇”，可以看出，在有史记载的夏朝之前，就有了关于扇文化的记载。随着时代的发展，扇文化开始逐步向两个方面发展，一种是仪仗式的扇文化发展，一种是向着轻便实用的扇文化发展。随着扇文化的发展，到了两汉时期，“团扇”作为扇子的一种，开始逐步走上历史舞台。</w:t>
      </w:r>
    </w:p>
    <w:p>
      <w:pPr>
        <w:tabs>
          <w:tab w:val="left" w:pos="2160"/>
        </w:tabs>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根据对相关文献的查询，发现汉代的《团扇赋》是第一个进行团扇描述的作品。从当时描述的团扇造型来看，在团扇出现的最初阶段，团扇的形状主要是圆形，还有梅花形、海棠形等艺术造型，所使用的材料主要是丝绸织品。随着造纸技术的发展，隋唐时期出现了纸面团扇。到了唐宋时期，随着刺绣技术的发展，精良的刺绣技术制作出的团扇开始广泛地得到应用，其特点是扇柄为中轴，并配备素白色的绢作为扇面，深受大家闺秀和文人墨客的喜爱。</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cs="宋体"/>
          <w:sz w:val="24"/>
        </w:rPr>
        <w:t>近年来，随着中国经济的迅速发展，文化领域的“中国风”、“复古风”也在向国外和中国民间渗透，扇文化也逐步向日用、装饰、手工书画、手工</w:t>
      </w:r>
      <w:r>
        <w:rPr>
          <w:rFonts w:ascii="仿宋_GB2312" w:hAnsi="宋体" w:eastAsia="仿宋_GB2312" w:cs="宋体"/>
          <w:sz w:val="24"/>
        </w:rPr>
        <w:t>DIY、中式舞蹈、汉服配饰、手工刺绣、拍摄道具等领域不断扩展。</w:t>
      </w:r>
      <w:r>
        <w:rPr>
          <w:rFonts w:hint="eastAsia" w:ascii="仿宋_GB2312" w:hAnsi="宋体" w:eastAsia="仿宋_GB2312"/>
          <w:sz w:val="24"/>
        </w:rPr>
        <w:t>国民经济为分类为C2439 其他工艺美术品制造，ICS国际标准号为97.195，CCS中国标准号为Y88。</w:t>
      </w:r>
    </w:p>
    <w:p>
      <w:pPr>
        <w:tabs>
          <w:tab w:val="left" w:pos="2160"/>
        </w:tabs>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进入新世纪以来，作为传统的手工业生产方式的扇子制作业已经很难适应现代工业的发展需要，机器制造的规模经营与手工操作的低效率产生了强烈的矛盾，生产成本提高，技术人员流失，从而导致生产经营渐渐萎缩。作为制扇工厂安吉六合扇业不仅保留了中国制扇传统技艺（手工制扇非遗传承人），还在技术上引进先进的激光切割设备代替传统手工，促使产品层次增加和消费需求的更新。企业在保留手工的同时，在设计研发上投入资金，让一把传统的竹扇不仅可以作为文玩收藏，也可以是年轻人喜欢的手工作品，让非遗在时尚中得到传承。</w:t>
      </w:r>
    </w:p>
    <w:p>
      <w:pPr>
        <w:tabs>
          <w:tab w:val="left" w:pos="2160"/>
        </w:tabs>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经“浙江省方大标准信息有限公司”标准动态管理系统查询目前国内没有“团扇”有关的国家、行业标准;采用 “round fan”、“circular fan”等关键词查询国际标准、欧洲标准和美国标准，均未发现与“团扇”有关联的标准存在。本次提出的《团扇》“浙江制造”团体标准，填补国内有关领域标准的空白，符合高端客户和消费者的需求。</w:t>
      </w:r>
    </w:p>
    <w:p>
      <w:pPr>
        <w:pStyle w:val="13"/>
        <w:numPr>
          <w:ilvl w:val="0"/>
          <w:numId w:val="0"/>
        </w:numPr>
        <w:spacing w:before="312" w:after="312"/>
        <w:jc w:val="left"/>
        <w:rPr>
          <w:rFonts w:hAnsi="黑体"/>
          <w:sz w:val="24"/>
          <w:szCs w:val="24"/>
        </w:rPr>
      </w:pPr>
      <w:r>
        <w:rPr>
          <w:rFonts w:hint="eastAsia" w:hAnsi="黑体"/>
          <w:sz w:val="24"/>
          <w:szCs w:val="24"/>
        </w:rPr>
        <w:t>2  项目来源</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由安吉六合工艺品有限公司向浙江省品牌建设联合会提出立项申请，经省品牌建设联合会专家答辩通过，并于2022年XX月XX日印发了《关于发布2022年第一批“浙江制造”标准制订计划的通知》（浙品联（2022）XX号），项目名称：《团扇》。</w:t>
      </w:r>
    </w:p>
    <w:p>
      <w:pPr>
        <w:pStyle w:val="13"/>
        <w:numPr>
          <w:ilvl w:val="0"/>
          <w:numId w:val="0"/>
        </w:numPr>
        <w:spacing w:before="312" w:after="312"/>
        <w:jc w:val="left"/>
        <w:rPr>
          <w:rFonts w:hAnsi="黑体"/>
          <w:sz w:val="24"/>
          <w:szCs w:val="24"/>
        </w:rPr>
      </w:pPr>
      <w:r>
        <w:rPr>
          <w:rFonts w:hint="eastAsia" w:hAnsi="黑体"/>
          <w:sz w:val="24"/>
          <w:szCs w:val="24"/>
        </w:rPr>
        <w:t>3   标准制定工作概况</w:t>
      </w:r>
    </w:p>
    <w:p>
      <w:pPr>
        <w:pStyle w:val="13"/>
        <w:numPr>
          <w:ilvl w:val="0"/>
          <w:numId w:val="0"/>
        </w:numPr>
        <w:spacing w:before="312" w:after="312"/>
        <w:jc w:val="left"/>
        <w:rPr>
          <w:rFonts w:hAnsi="黑体"/>
          <w:sz w:val="24"/>
          <w:szCs w:val="24"/>
        </w:rPr>
      </w:pPr>
      <w:r>
        <w:rPr>
          <w:rFonts w:hint="eastAsia" w:hAnsi="黑体"/>
          <w:sz w:val="24"/>
          <w:szCs w:val="24"/>
        </w:rPr>
        <w:t>3.1  标准制定相关单位及人员</w:t>
      </w:r>
    </w:p>
    <w:p>
      <w:pPr>
        <w:tabs>
          <w:tab w:val="left" w:pos="2160"/>
        </w:tabs>
        <w:spacing w:line="360" w:lineRule="auto"/>
        <w:rPr>
          <w:rFonts w:ascii="仿宋_GB2312" w:hAnsi="宋体" w:eastAsia="仿宋_GB2312"/>
          <w:sz w:val="24"/>
        </w:rPr>
      </w:pPr>
      <w:r>
        <w:rPr>
          <w:rFonts w:hint="eastAsia" w:ascii="黑体" w:hAnsi="黑体" w:eastAsia="黑体"/>
          <w:sz w:val="24"/>
        </w:rPr>
        <w:t>3.1.1</w:t>
      </w:r>
      <w:r>
        <w:rPr>
          <w:rFonts w:hint="eastAsia" w:ascii="仿宋_GB2312" w:hAnsi="宋体" w:eastAsia="仿宋_GB2312"/>
          <w:sz w:val="24"/>
        </w:rPr>
        <w:t>本标准主要起草单位：安吉六合工艺品有限公司。</w:t>
      </w:r>
    </w:p>
    <w:p>
      <w:pPr>
        <w:tabs>
          <w:tab w:val="left" w:pos="2160"/>
        </w:tabs>
        <w:spacing w:line="360" w:lineRule="auto"/>
        <w:rPr>
          <w:rFonts w:ascii="仿宋_GB2312" w:hAnsi="宋体" w:eastAsia="仿宋_GB2312"/>
          <w:sz w:val="24"/>
        </w:rPr>
      </w:pPr>
      <w:r>
        <w:rPr>
          <w:rFonts w:hint="eastAsia" w:ascii="黑体" w:hAnsi="黑体" w:eastAsia="黑体"/>
          <w:sz w:val="24"/>
        </w:rPr>
        <w:t>3.1.2</w:t>
      </w:r>
      <w:r>
        <w:rPr>
          <w:rFonts w:hint="eastAsia" w:ascii="仿宋_GB2312" w:hAnsi="宋体" w:eastAsia="仿宋_GB2312"/>
          <w:sz w:val="24"/>
        </w:rPr>
        <w:t>本标准参与起草单位：安吉县鄣吴工艺品厂、安吉悠达电子商务有限公司、浙江安吉冉大贸易有限公司、安吉县竹产业发展中心、安吉县扇业协会。</w:t>
      </w:r>
    </w:p>
    <w:p>
      <w:pPr>
        <w:pStyle w:val="14"/>
        <w:spacing w:line="360" w:lineRule="auto"/>
        <w:ind w:firstLine="0" w:firstLineChars="0"/>
        <w:rPr>
          <w:rFonts w:ascii="仿宋_GB2312" w:hAnsi="宋体" w:eastAsia="仿宋_GB2312"/>
          <w:sz w:val="24"/>
        </w:rPr>
      </w:pPr>
      <w:r>
        <w:rPr>
          <w:rFonts w:hint="eastAsia" w:ascii="黑体" w:hAnsi="黑体" w:eastAsia="黑体"/>
          <w:sz w:val="24"/>
        </w:rPr>
        <w:t xml:space="preserve">3.1.3 </w:t>
      </w:r>
      <w:r>
        <w:rPr>
          <w:rFonts w:hint="eastAsia" w:ascii="仿宋_GB2312" w:hAnsi="宋体" w:eastAsia="仿宋_GB2312"/>
          <w:sz w:val="24"/>
        </w:rPr>
        <w:t>本标准起草</w:t>
      </w:r>
      <w:r>
        <w:rPr>
          <w:rFonts w:hint="eastAsia" w:ascii="仿宋_GB2312" w:hAnsi="宋体" w:eastAsia="仿宋_GB2312"/>
          <w:sz w:val="24"/>
          <w:szCs w:val="22"/>
        </w:rPr>
        <w:t>人：</w:t>
      </w:r>
      <w:r>
        <w:rPr>
          <w:rFonts w:hint="eastAsia" w:ascii="仿宋_GB2312" w:hAnsi="宋体" w:eastAsia="仿宋_GB2312"/>
          <w:kern w:val="2"/>
          <w:sz w:val="24"/>
          <w:szCs w:val="24"/>
        </w:rPr>
        <w:t>胡六合、胡新华、周莺、黄菲、卢伟亮、汪佳丽、董敦义、黄金</w:t>
      </w:r>
      <w:r>
        <w:rPr>
          <w:rFonts w:hint="eastAsia"/>
          <w:lang w:val="en-US" w:eastAsia="zh-CN"/>
        </w:rPr>
        <w:t>、陈宇</w:t>
      </w:r>
      <w:bookmarkStart w:id="7" w:name="_GoBack"/>
      <w:bookmarkEnd w:id="7"/>
      <w:r>
        <w:rPr>
          <w:rFonts w:hint="eastAsia" w:ascii="仿宋_GB2312" w:hAnsi="宋体" w:eastAsia="仿宋_GB2312"/>
          <w:sz w:val="24"/>
        </w:rPr>
        <w:t>。</w:t>
      </w:r>
    </w:p>
    <w:p>
      <w:pPr>
        <w:pStyle w:val="13"/>
        <w:numPr>
          <w:ilvl w:val="0"/>
          <w:numId w:val="0"/>
        </w:numPr>
        <w:spacing w:before="312" w:after="312"/>
        <w:jc w:val="left"/>
        <w:rPr>
          <w:rFonts w:hAnsi="黑体"/>
          <w:sz w:val="24"/>
          <w:szCs w:val="24"/>
        </w:rPr>
      </w:pPr>
      <w:r>
        <w:rPr>
          <w:rFonts w:hint="eastAsia" w:hAnsi="黑体"/>
          <w:sz w:val="24"/>
          <w:szCs w:val="24"/>
        </w:rPr>
        <w:t>3.2  主要工作过程</w:t>
      </w:r>
    </w:p>
    <w:p>
      <w:pPr>
        <w:spacing w:line="500" w:lineRule="exact"/>
        <w:rPr>
          <w:rFonts w:ascii="仿宋_GB2312" w:hAnsi="宋体" w:eastAsia="仿宋_GB2312"/>
          <w:sz w:val="24"/>
        </w:rPr>
      </w:pPr>
      <w:r>
        <w:rPr>
          <w:rFonts w:hint="eastAsia" w:ascii="黑体" w:hAnsi="黑体" w:eastAsia="黑体"/>
          <w:sz w:val="24"/>
        </w:rPr>
        <w:t>3.2.1</w:t>
      </w:r>
      <w:r>
        <w:rPr>
          <w:rFonts w:hint="eastAsia" w:ascii="仿宋_GB2312" w:hAnsi="宋体" w:eastAsia="仿宋_GB2312"/>
          <w:sz w:val="24"/>
        </w:rPr>
        <w:t>前期准备工作。</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安吉六合工艺品有限公司在获得立项通知后，成立了标准起草小组，小组成员来自安吉六合工艺品有限公司及参与单位负责人，并确定了工作计划和研制思路。</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标准起草小组对国内外相关标准和资料进行检索，</w:t>
      </w:r>
      <w:r>
        <w:rPr>
          <w:rFonts w:hint="eastAsia" w:ascii="仿宋_GB2312" w:hAnsi="宋体" w:eastAsia="仿宋_GB2312" w:cs="宋体"/>
          <w:sz w:val="24"/>
        </w:rPr>
        <w:t>未发现与“团扇”有关联的标准存在，国内与之有关联的</w:t>
      </w:r>
      <w:r>
        <w:rPr>
          <w:rFonts w:hint="eastAsia" w:ascii="仿宋_GB2312" w:hAnsi="宋体" w:eastAsia="仿宋_GB2312"/>
          <w:sz w:val="24"/>
        </w:rPr>
        <w:t>T/ZZB 2607—2021</w:t>
      </w:r>
      <w:r>
        <w:rPr>
          <w:rFonts w:hint="eastAsia" w:ascii="仿宋_GB2312" w:hAnsi="宋体" w:eastAsia="仿宋_GB2312" w:cs="宋体"/>
          <w:sz w:val="24"/>
        </w:rPr>
        <w:t>《黑纸扇》，但与本项目产品区别较大，为此工作小组</w:t>
      </w:r>
      <w:r>
        <w:rPr>
          <w:rFonts w:hint="eastAsia" w:ascii="仿宋_GB2312" w:hAnsi="宋体" w:eastAsia="仿宋_GB2312"/>
          <w:sz w:val="24"/>
        </w:rPr>
        <w:t>组织开展了项目的研发设计、选材、工艺、检验和装备能力的调</w:t>
      </w:r>
      <w:r>
        <w:rPr>
          <w:rFonts w:hint="eastAsia" w:ascii="仿宋_GB2312" w:hAnsi="宋体" w:eastAsia="仿宋_GB2312" w:cs="宋体"/>
          <w:sz w:val="24"/>
        </w:rPr>
        <w:t>研，对外观质量、理化性能、耐久性能等多个项目的数据进行测试，从而确定标准框架。</w:t>
      </w:r>
    </w:p>
    <w:p>
      <w:pPr>
        <w:pStyle w:val="13"/>
        <w:numPr>
          <w:ilvl w:val="0"/>
          <w:numId w:val="0"/>
        </w:numPr>
        <w:spacing w:before="312" w:after="312"/>
        <w:jc w:val="left"/>
        <w:rPr>
          <w:rFonts w:hAnsi="黑体"/>
          <w:sz w:val="24"/>
          <w:szCs w:val="24"/>
        </w:rPr>
      </w:pPr>
      <w:r>
        <w:rPr>
          <w:rFonts w:hint="eastAsia" w:hAnsi="黑体"/>
          <w:sz w:val="24"/>
          <w:szCs w:val="24"/>
        </w:rPr>
        <w:t>3.2.2标准草案研制</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标准起草小组以国外客户需求为基础，参照</w:t>
      </w:r>
      <w:r>
        <w:rPr>
          <w:rFonts w:hint="eastAsia" w:ascii="仿宋_GB2312" w:hAnsi="宋体" w:eastAsia="仿宋_GB2312"/>
          <w:sz w:val="24"/>
        </w:rPr>
        <w:t>T/ZZB 2607—2021</w:t>
      </w:r>
      <w:r>
        <w:rPr>
          <w:rFonts w:hint="eastAsia" w:ascii="仿宋_GB2312" w:hAnsi="宋体" w:eastAsia="仿宋_GB2312" w:cs="宋体"/>
          <w:sz w:val="24"/>
        </w:rPr>
        <w:t>《黑纸扇》标准的格式与参数，分析各项目指标的合理性和可行性，按照“浙江制造”标准研制要求，增加了基本要求(研发设计、原辅材料选用、工艺技术、检验检测)、质量承诺等方面的内容。经过标准起草小组共同努力，于2022年10月形成了标准草案，并组织召开了标准研讨会。</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研讨会上，专家听取了标准起草小组关于本标准研制的背景、立项过程，标准研制过程等，重点对标准讨论稿、编制说明进行了详细的解读和讨论，专家组形成如下意见：</w:t>
      </w:r>
    </w:p>
    <w:p>
      <w:pPr>
        <w:numPr>
          <w:ilvl w:val="0"/>
          <w:numId w:val="4"/>
        </w:num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标准草案</w:t>
      </w:r>
      <w:r>
        <w:rPr>
          <w:rFonts w:ascii="仿宋_GB2312" w:hAnsi="宋体" w:eastAsia="仿宋_GB2312" w:cs="宋体"/>
          <w:sz w:val="24"/>
        </w:rPr>
        <w:t>4.2</w:t>
      </w:r>
      <w:r>
        <w:rPr>
          <w:rFonts w:hint="eastAsia" w:ascii="仿宋_GB2312" w:hAnsi="宋体" w:eastAsia="仿宋_GB2312" w:cs="宋体"/>
          <w:sz w:val="24"/>
        </w:rPr>
        <w:t>产品结构, 产品结构示意图应含有其部件的名称（文字标注），引出语要注意是否运用产品编码规律；</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标准草案5</w:t>
      </w:r>
      <w:r>
        <w:rPr>
          <w:rFonts w:ascii="仿宋_GB2312" w:hAnsi="宋体" w:eastAsia="仿宋_GB2312" w:cs="宋体"/>
          <w:sz w:val="24"/>
        </w:rPr>
        <w:t>.2.3</w:t>
      </w:r>
      <w:r>
        <w:rPr>
          <w:rFonts w:hint="eastAsia" w:ascii="仿宋_GB2312" w:hAnsi="宋体" w:eastAsia="仿宋_GB2312" w:cs="宋体"/>
          <w:sz w:val="24"/>
        </w:rPr>
        <w:t>下面表1，应取消对“扇柄材料分级”，根据企业实际情况，提高要求，采用唯一标准选材。</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标准草案5</w:t>
      </w:r>
      <w:r>
        <w:rPr>
          <w:rFonts w:ascii="仿宋_GB2312" w:hAnsi="宋体" w:eastAsia="仿宋_GB2312" w:cs="宋体"/>
          <w:sz w:val="24"/>
        </w:rPr>
        <w:t>.3</w:t>
      </w:r>
      <w:r>
        <w:rPr>
          <w:rFonts w:hint="eastAsia" w:ascii="仿宋_GB2312" w:hAnsi="宋体" w:eastAsia="仿宋_GB2312" w:cs="宋体"/>
          <w:sz w:val="24"/>
        </w:rPr>
        <w:t>工艺技术应改为“主要工艺工装”，要反映出手工工艺技能特色，要体现匠人技术含量，体现浙江制造的水平，对人的工具的要求要体现出来。</w:t>
      </w:r>
    </w:p>
    <w:p>
      <w:pPr>
        <w:numPr>
          <w:ilvl w:val="0"/>
          <w:numId w:val="4"/>
        </w:num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标准草案6</w:t>
      </w:r>
      <w:r>
        <w:rPr>
          <w:rFonts w:ascii="仿宋_GB2312" w:hAnsi="宋体" w:eastAsia="仿宋_GB2312" w:cs="宋体"/>
          <w:sz w:val="24"/>
        </w:rPr>
        <w:t xml:space="preserve"> </w:t>
      </w:r>
      <w:r>
        <w:rPr>
          <w:rFonts w:hint="eastAsia" w:ascii="仿宋_GB2312" w:hAnsi="宋体" w:eastAsia="仿宋_GB2312" w:cs="宋体"/>
          <w:sz w:val="24"/>
        </w:rPr>
        <w:t>技术要求，标准术语要统一，前后术语一致，内容对应。</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标准草案6</w:t>
      </w:r>
      <w:r>
        <w:rPr>
          <w:rFonts w:ascii="仿宋_GB2312" w:hAnsi="宋体" w:eastAsia="仿宋_GB2312" w:cs="宋体"/>
          <w:sz w:val="24"/>
        </w:rPr>
        <w:t xml:space="preserve">.1 </w:t>
      </w:r>
      <w:r>
        <w:rPr>
          <w:rFonts w:hint="eastAsia" w:ascii="仿宋_GB2312" w:hAnsi="宋体" w:eastAsia="仿宋_GB2312" w:cs="宋体"/>
          <w:sz w:val="24"/>
        </w:rPr>
        <w:t>外观应含产品所有部件（扇框、扇面、扇柄、沿边条和扇须）</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标准草案6</w:t>
      </w:r>
      <w:r>
        <w:rPr>
          <w:rFonts w:ascii="仿宋_GB2312" w:hAnsi="宋体" w:eastAsia="仿宋_GB2312" w:cs="宋体"/>
          <w:sz w:val="24"/>
        </w:rPr>
        <w:t xml:space="preserve">.2 </w:t>
      </w:r>
      <w:r>
        <w:rPr>
          <w:rFonts w:hint="eastAsia" w:ascii="仿宋_GB2312" w:hAnsi="宋体" w:eastAsia="仿宋_GB2312" w:cs="宋体"/>
          <w:sz w:val="24"/>
        </w:rPr>
        <w:t>规格尺寸及偏差应适当加严。</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标准草案6</w:t>
      </w:r>
      <w:r>
        <w:rPr>
          <w:rFonts w:ascii="仿宋_GB2312" w:hAnsi="宋体" w:eastAsia="仿宋_GB2312" w:cs="宋体"/>
          <w:sz w:val="24"/>
        </w:rPr>
        <w:t xml:space="preserve">.3 </w:t>
      </w:r>
      <w:r>
        <w:rPr>
          <w:rFonts w:hint="eastAsia" w:ascii="仿宋_GB2312" w:hAnsi="宋体" w:eastAsia="仿宋_GB2312" w:cs="宋体"/>
          <w:sz w:val="24"/>
        </w:rPr>
        <w:t>使用寿命应考虑最不利的工作场景（比如舞台）下使用，提高测试力（从3N提高到6N），次数不小于3</w:t>
      </w:r>
      <w:r>
        <w:rPr>
          <w:rFonts w:ascii="仿宋_GB2312" w:hAnsi="宋体" w:eastAsia="仿宋_GB2312" w:cs="宋体"/>
          <w:sz w:val="24"/>
        </w:rPr>
        <w:t>000</w:t>
      </w:r>
      <w:r>
        <w:rPr>
          <w:rFonts w:hint="eastAsia" w:ascii="仿宋_GB2312" w:hAnsi="宋体" w:eastAsia="仿宋_GB2312" w:cs="宋体"/>
          <w:sz w:val="24"/>
        </w:rPr>
        <w:t>次。</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标准草案6</w:t>
      </w:r>
      <w:r>
        <w:rPr>
          <w:rFonts w:ascii="仿宋_GB2312" w:hAnsi="宋体" w:eastAsia="仿宋_GB2312" w:cs="宋体"/>
          <w:sz w:val="24"/>
        </w:rPr>
        <w:t xml:space="preserve">.5 </w:t>
      </w:r>
      <w:r>
        <w:rPr>
          <w:rFonts w:hint="eastAsia" w:ascii="仿宋_GB2312" w:hAnsi="宋体" w:eastAsia="仿宋_GB2312" w:cs="宋体"/>
          <w:sz w:val="24"/>
        </w:rPr>
        <w:t>含水率改为出厂含水率</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标准草案6</w:t>
      </w:r>
      <w:r>
        <w:rPr>
          <w:rFonts w:ascii="仿宋_GB2312" w:hAnsi="宋体" w:eastAsia="仿宋_GB2312" w:cs="宋体"/>
          <w:sz w:val="24"/>
        </w:rPr>
        <w:t xml:space="preserve">.7 </w:t>
      </w:r>
      <w:r>
        <w:rPr>
          <w:rFonts w:hint="eastAsia" w:ascii="仿宋_GB2312" w:hAnsi="宋体" w:eastAsia="仿宋_GB2312" w:cs="宋体"/>
          <w:sz w:val="24"/>
        </w:rPr>
        <w:t>异味这一条可以删除，产品异味主要是通过对原材料提出控制要求，不对产品进行检测。</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w:t>
      </w:r>
      <w:r>
        <w:rPr>
          <w:rFonts w:ascii="仿宋_GB2312" w:hAnsi="宋体" w:eastAsia="仿宋_GB2312" w:cs="宋体"/>
          <w:sz w:val="24"/>
        </w:rPr>
        <w:t xml:space="preserve">6.9 </w:t>
      </w:r>
      <w:r>
        <w:rPr>
          <w:rFonts w:hint="eastAsia" w:ascii="仿宋_GB2312" w:hAnsi="宋体" w:eastAsia="仿宋_GB2312" w:cs="宋体"/>
          <w:sz w:val="24"/>
        </w:rPr>
        <w:t>牢固度，应提高测试力（从3N到6N）。</w:t>
      </w:r>
    </w:p>
    <w:p>
      <w:pPr>
        <w:pStyle w:val="2"/>
        <w:numPr>
          <w:ilvl w:val="0"/>
          <w:numId w:val="4"/>
        </w:numPr>
        <w:spacing w:after="0" w:line="360" w:lineRule="auto"/>
        <w:ind w:left="0" w:leftChars="0" w:firstLine="480" w:firstLineChars="0"/>
        <w:rPr>
          <w:rFonts w:ascii="仿宋_GB2312" w:hAnsi="宋体" w:eastAsia="仿宋_GB2312" w:cs="宋体"/>
          <w:sz w:val="24"/>
        </w:rPr>
      </w:pPr>
      <w:r>
        <w:rPr>
          <w:rFonts w:hint="eastAsia" w:ascii="仿宋_GB2312" w:hAnsi="宋体" w:eastAsia="仿宋_GB2312" w:cs="宋体"/>
          <w:sz w:val="24"/>
        </w:rPr>
        <w:t>标准草案7</w:t>
      </w:r>
      <w:r>
        <w:rPr>
          <w:rFonts w:ascii="仿宋_GB2312" w:hAnsi="宋体" w:eastAsia="仿宋_GB2312" w:cs="宋体"/>
          <w:sz w:val="24"/>
        </w:rPr>
        <w:t xml:space="preserve">.1 </w:t>
      </w:r>
      <w:r>
        <w:rPr>
          <w:rFonts w:hint="eastAsia" w:ascii="仿宋_GB2312" w:hAnsi="宋体" w:eastAsia="仿宋_GB2312" w:cs="宋体"/>
          <w:sz w:val="24"/>
        </w:rPr>
        <w:t>外观，按6</w:t>
      </w:r>
      <w:r>
        <w:rPr>
          <w:rFonts w:ascii="仿宋_GB2312" w:hAnsi="宋体" w:eastAsia="仿宋_GB2312" w:cs="宋体"/>
          <w:sz w:val="24"/>
        </w:rPr>
        <w:t xml:space="preserve">.1 </w:t>
      </w:r>
      <w:r>
        <w:rPr>
          <w:rFonts w:hint="eastAsia" w:ascii="仿宋_GB2312" w:hAnsi="宋体" w:eastAsia="仿宋_GB2312" w:cs="宋体"/>
          <w:sz w:val="24"/>
        </w:rPr>
        <w:t>外观质量要求人工检测时，考虑检测人员的安全，应配备基本的工具、装备。</w:t>
      </w:r>
    </w:p>
    <w:p>
      <w:pPr>
        <w:pStyle w:val="2"/>
        <w:ind w:left="0" w:leftChars="0" w:firstLine="0" w:firstLineChars="0"/>
        <w:rPr>
          <w:rFonts w:hAnsi="黑体"/>
          <w:sz w:val="24"/>
        </w:rPr>
      </w:pPr>
      <w:r>
        <w:t xml:space="preserve">  </w:t>
      </w:r>
      <w:r>
        <w:rPr>
          <w:rFonts w:hint="eastAsia" w:hAnsi="黑体"/>
          <w:sz w:val="24"/>
        </w:rPr>
        <w:t>3.2.3 标准征求意见稿</w:t>
      </w:r>
    </w:p>
    <w:p>
      <w:pPr>
        <w:spacing w:line="360" w:lineRule="auto"/>
        <w:ind w:firstLine="480"/>
        <w:rPr>
          <w:rFonts w:ascii="仿宋_GB2312" w:hAnsi="宋体" w:eastAsia="仿宋_GB2312" w:cs="宋体"/>
          <w:sz w:val="24"/>
        </w:rPr>
      </w:pPr>
      <w:r>
        <w:rPr>
          <w:rFonts w:hint="eastAsia" w:ascii="仿宋_GB2312" w:hAnsi="宋体" w:eastAsia="仿宋_GB2312" w:cs="宋体"/>
          <w:sz w:val="24"/>
        </w:rPr>
        <w:t>标准起草小组，在认真听取了专家意见，并参照</w:t>
      </w:r>
      <w:r>
        <w:rPr>
          <w:rFonts w:hint="eastAsia" w:ascii="仿宋_GB2312" w:hAnsi="宋体" w:eastAsia="仿宋_GB2312"/>
          <w:sz w:val="24"/>
        </w:rPr>
        <w:t>T/ZZB 2607—2021</w:t>
      </w:r>
      <w:r>
        <w:rPr>
          <w:rFonts w:hint="eastAsia" w:ascii="仿宋_GB2312" w:hAnsi="宋体" w:eastAsia="仿宋_GB2312" w:cs="宋体"/>
          <w:sz w:val="24"/>
        </w:rPr>
        <w:t>《黑纸扇》标准的格式与参数，分析各项目指标的合理性和可行性后，于2022年10月16日，形成了标准征求意见稿。并按照有关要求，对标准征求意见稿进行发放，广泛征集高校、科研院所、检测机构、行业专家、同行企业、用户的意见。</w:t>
      </w:r>
    </w:p>
    <w:p>
      <w:pPr>
        <w:pStyle w:val="13"/>
        <w:numPr>
          <w:ilvl w:val="0"/>
          <w:numId w:val="0"/>
        </w:numPr>
        <w:spacing w:before="312" w:after="312"/>
        <w:jc w:val="left"/>
        <w:rPr>
          <w:rFonts w:hAnsi="黑体"/>
          <w:sz w:val="24"/>
          <w:szCs w:val="24"/>
        </w:rPr>
      </w:pPr>
      <w:r>
        <w:rPr>
          <w:rFonts w:hint="eastAsia" w:hAnsi="黑体"/>
          <w:sz w:val="24"/>
          <w:szCs w:val="24"/>
        </w:rPr>
        <w:t>3.2.4 标准审定稿</w:t>
      </w:r>
    </w:p>
    <w:p>
      <w:pPr>
        <w:pStyle w:val="13"/>
        <w:numPr>
          <w:ilvl w:val="0"/>
          <w:numId w:val="0"/>
        </w:numPr>
        <w:spacing w:before="312" w:after="312"/>
        <w:jc w:val="left"/>
        <w:rPr>
          <w:rFonts w:hAnsi="黑体"/>
          <w:sz w:val="24"/>
          <w:szCs w:val="24"/>
        </w:rPr>
      </w:pPr>
    </w:p>
    <w:p>
      <w:pPr>
        <w:pStyle w:val="13"/>
        <w:numPr>
          <w:ilvl w:val="0"/>
          <w:numId w:val="0"/>
        </w:numPr>
        <w:spacing w:before="312" w:after="312"/>
        <w:jc w:val="left"/>
        <w:rPr>
          <w:rFonts w:hAnsi="黑体"/>
          <w:sz w:val="24"/>
          <w:szCs w:val="24"/>
        </w:rPr>
      </w:pPr>
      <w:r>
        <w:rPr>
          <w:rFonts w:hint="eastAsia" w:hAnsi="黑体"/>
          <w:sz w:val="24"/>
          <w:szCs w:val="24"/>
        </w:rPr>
        <w:t>4  标准编制原则、主要内容及确定依据</w:t>
      </w:r>
    </w:p>
    <w:p>
      <w:pPr>
        <w:pStyle w:val="13"/>
        <w:numPr>
          <w:ilvl w:val="0"/>
          <w:numId w:val="0"/>
        </w:numPr>
        <w:spacing w:before="312" w:after="312"/>
        <w:jc w:val="left"/>
        <w:rPr>
          <w:rFonts w:hAnsi="黑体"/>
          <w:sz w:val="24"/>
          <w:szCs w:val="24"/>
        </w:rPr>
      </w:pPr>
      <w:r>
        <w:rPr>
          <w:rFonts w:hint="eastAsia" w:hAnsi="黑体"/>
          <w:sz w:val="24"/>
          <w:szCs w:val="24"/>
        </w:rPr>
        <w:t>4.1  编制原则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标准编制遵循“合规性、必要性、先进性、经济性、可操作性”的原则，严格按照GB/T 1.1-2020《标准化工作导则第1部分：标准的结构和编写》的规定进行编写和表述，主要参考T/ZZB 2607—2021</w:t>
      </w:r>
      <w:r>
        <w:rPr>
          <w:rFonts w:hint="eastAsia" w:ascii="仿宋_GB2312" w:hAnsi="宋体" w:eastAsia="仿宋_GB2312" w:cs="宋体"/>
          <w:sz w:val="24"/>
        </w:rPr>
        <w:t>《黑纸扇》标准的格式与条款参数</w:t>
      </w:r>
      <w:r>
        <w:rPr>
          <w:rFonts w:hint="eastAsia" w:ascii="仿宋_GB2312" w:hAnsi="宋体" w:eastAsia="仿宋_GB2312"/>
          <w:sz w:val="24"/>
        </w:rPr>
        <w:t>，同时结合考虑国外高端客户要求，注重标准的可操作性。</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1）合规性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本标准的编制遵循合规性原则，标准起草小组根据GB/T 1.1—2020《标准化工作导则第1部分：标准的结构和编写》编制标准草案。标准起草小组对产品市场做了充分的调研和分析，参照行业标准的技术条目进行编制。 </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2）必要性</w:t>
      </w:r>
    </w:p>
    <w:p>
      <w:pPr>
        <w:pStyle w:val="33"/>
        <w:spacing w:line="360" w:lineRule="auto"/>
        <w:ind w:firstLine="480"/>
        <w:rPr>
          <w:rFonts w:ascii="仿宋_GB2312" w:hAnsi="宋体" w:eastAsia="仿宋_GB2312"/>
          <w:sz w:val="24"/>
        </w:rPr>
      </w:pPr>
      <w:r>
        <w:rPr>
          <w:rFonts w:hint="eastAsia" w:ascii="仿宋_GB2312" w:hAnsi="宋体" w:eastAsia="仿宋_GB2312"/>
          <w:sz w:val="24"/>
        </w:rPr>
        <w:t>申报产品作为非物质文化遗产保护类别之一，主要应用于日用、装饰、手工书画、手工DIY、中式舞蹈、汉服配饰、手工刺绣、拍摄道具等领域，虽然小众，但对于弘扬中国传统文化，让非遗在时尚中传承扮演着重要的角色。规范团扇相关标准，保护消费者使用安全、环保及权益，都有重要的示范意义，同时能有效的保护和传承。</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3）先进性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标准起草小组查询了国内外的资料，依据T/ZZB 2607—2021</w:t>
      </w:r>
      <w:r>
        <w:rPr>
          <w:rFonts w:hint="eastAsia" w:ascii="仿宋_GB2312" w:hAnsi="宋体" w:eastAsia="仿宋_GB2312" w:cs="宋体"/>
          <w:sz w:val="24"/>
        </w:rPr>
        <w:t>《黑纸扇》</w:t>
      </w:r>
      <w:r>
        <w:rPr>
          <w:rFonts w:hint="eastAsia" w:ascii="仿宋_GB2312" w:hAnsi="宋体" w:eastAsia="仿宋_GB2312"/>
          <w:sz w:val="24"/>
        </w:rPr>
        <w:t>标准，结合我司多年生产与国内外客户的实践经验，制定符合产业链发展，和高端客户的需求的特性指标，先进性体现在：</w:t>
      </w:r>
    </w:p>
    <w:p>
      <w:pPr>
        <w:tabs>
          <w:tab w:val="left" w:pos="2160"/>
        </w:tabs>
        <w:spacing w:line="360" w:lineRule="auto"/>
        <w:ind w:firstLine="480" w:firstLineChars="20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使用寿命 检测试验力值从3N提高到6N；</w:t>
      </w:r>
    </w:p>
    <w:p>
      <w:pPr>
        <w:tabs>
          <w:tab w:val="left" w:pos="2160"/>
        </w:tabs>
        <w:spacing w:line="360" w:lineRule="auto"/>
        <w:ind w:firstLine="480" w:firstLineChars="200"/>
        <w:rPr>
          <w:rFonts w:ascii="仿宋_GB2312" w:hAnsi="宋体" w:eastAsia="仿宋_GB2312"/>
          <w:sz w:val="24"/>
        </w:rPr>
      </w:pPr>
      <w:r>
        <w:rPr>
          <w:rFonts w:ascii="仿宋_GB2312" w:hAnsi="宋体" w:eastAsia="仿宋_GB2312"/>
          <w:sz w:val="24"/>
        </w:rPr>
        <w:t>②</w:t>
      </w:r>
      <w:r>
        <w:rPr>
          <w:rFonts w:hint="eastAsia" w:ascii="仿宋_GB2312" w:hAnsi="宋体" w:eastAsia="仿宋_GB2312"/>
          <w:sz w:val="24"/>
        </w:rPr>
        <w:t>耐跌落性 考虑成人持扇高度大约</w:t>
      </w:r>
      <w:r>
        <w:rPr>
          <w:rFonts w:ascii="仿宋_GB2312" w:hAnsi="宋体" w:eastAsia="仿宋_GB2312"/>
          <w:sz w:val="24"/>
        </w:rPr>
        <w:t>120</w:t>
      </w:r>
      <w:r>
        <w:rPr>
          <w:rFonts w:hint="eastAsia" w:ascii="仿宋_GB2312" w:hAnsi="宋体" w:eastAsia="仿宋_GB2312"/>
          <w:sz w:val="24"/>
        </w:rPr>
        <w:t>cm，而跌落场景一般为木地板；</w:t>
      </w:r>
    </w:p>
    <w:p>
      <w:pPr>
        <w:tabs>
          <w:tab w:val="left" w:pos="2160"/>
        </w:tabs>
        <w:spacing w:line="360" w:lineRule="auto"/>
        <w:ind w:firstLine="480" w:firstLineChars="200"/>
        <w:rPr>
          <w:rFonts w:ascii="仿宋_GB2312" w:hAnsi="宋体" w:eastAsia="仿宋_GB2312"/>
          <w:sz w:val="24"/>
        </w:rPr>
      </w:pPr>
      <w:r>
        <w:rPr>
          <w:rFonts w:ascii="仿宋_GB2312" w:hAnsi="宋体" w:eastAsia="仿宋_GB2312"/>
          <w:sz w:val="24"/>
        </w:rPr>
        <w:t>③</w:t>
      </w:r>
      <w:r>
        <w:rPr>
          <w:rFonts w:hint="eastAsia" w:ascii="仿宋_GB2312" w:hAnsi="宋体" w:eastAsia="仿宋_GB2312"/>
          <w:sz w:val="24"/>
        </w:rPr>
        <w:t>牢固度 检测试验力值从3N提高到6N；</w:t>
      </w:r>
    </w:p>
    <w:p>
      <w:pPr>
        <w:pStyle w:val="2"/>
        <w:ind w:left="0" w:leftChars="0" w:firstLine="0" w:firstLineChars="0"/>
      </w:pPr>
      <w:r>
        <w:rPr>
          <w:rFonts w:hint="eastAsia" w:ascii="仿宋_GB2312" w:hAnsi="宋体" w:eastAsia="仿宋_GB2312"/>
          <w:sz w:val="24"/>
        </w:rPr>
        <w:t xml:space="preserve">    ④有毒有害物质。</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4）经济性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标准要求本着经济不增加过多成本的要求，所有指标均与高端客户需求相关，本标准提出的先进性指标，适合市场需求，高端产品与市场价格相符。</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5）可操作性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标准的技术要求均有对应的检测方法，且可由第三方实验室进行检测，检测方法都有相应的国家标准支撑，同时企业应具备产品基础性检测能力，有能力自主把控产品质量。</w:t>
      </w:r>
    </w:p>
    <w:p>
      <w:pPr>
        <w:pStyle w:val="13"/>
        <w:numPr>
          <w:ilvl w:val="0"/>
          <w:numId w:val="0"/>
        </w:numPr>
        <w:spacing w:before="312" w:after="312"/>
        <w:jc w:val="left"/>
        <w:rPr>
          <w:rFonts w:hAnsi="黑体"/>
          <w:sz w:val="24"/>
          <w:szCs w:val="24"/>
        </w:rPr>
      </w:pPr>
      <w:r>
        <w:rPr>
          <w:rFonts w:hint="eastAsia" w:hAnsi="黑体"/>
          <w:sz w:val="24"/>
          <w:szCs w:val="24"/>
        </w:rPr>
        <w:t>4.2  主要内容</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本标准主要内容包括术语和定义、产品分类、基本要求（设计研发、原辅材料、工艺技术、检验检测）、技术要求、试验方法、检验规则、标志、包装、运输、贮存和质量承诺等内容。</w:t>
      </w:r>
    </w:p>
    <w:p>
      <w:pPr>
        <w:pStyle w:val="13"/>
        <w:numPr>
          <w:ilvl w:val="0"/>
          <w:numId w:val="0"/>
        </w:numPr>
        <w:spacing w:before="312" w:after="312"/>
        <w:jc w:val="left"/>
        <w:rPr>
          <w:rFonts w:hAnsi="黑体"/>
          <w:sz w:val="24"/>
          <w:szCs w:val="24"/>
        </w:rPr>
      </w:pPr>
      <w:r>
        <w:rPr>
          <w:rFonts w:hint="eastAsia" w:hAnsi="黑体"/>
          <w:sz w:val="24"/>
          <w:szCs w:val="24"/>
        </w:rPr>
        <w:t>4.3.  主要指标内容及确认依据</w:t>
      </w:r>
    </w:p>
    <w:p>
      <w:pPr>
        <w:pStyle w:val="13"/>
        <w:numPr>
          <w:ilvl w:val="0"/>
          <w:numId w:val="0"/>
        </w:numPr>
        <w:spacing w:before="312" w:after="312"/>
        <w:jc w:val="left"/>
        <w:rPr>
          <w:rFonts w:hAnsi="黑体"/>
          <w:sz w:val="24"/>
          <w:szCs w:val="24"/>
        </w:rPr>
      </w:pPr>
      <w:r>
        <w:rPr>
          <w:rFonts w:hint="eastAsia" w:hAnsi="黑体"/>
          <w:sz w:val="24"/>
          <w:szCs w:val="24"/>
        </w:rPr>
        <w:t>4.3.1  基本要求</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主要以标准起草工作组调研结果为基础，按照“浙江制造”标准制订框架要求，就研发设计、原辅材料、工艺技术、检验检测等内容进行了标准编制。</w:t>
      </w:r>
    </w:p>
    <w:p>
      <w:pPr>
        <w:pStyle w:val="15"/>
        <w:numPr>
          <w:ilvl w:val="1"/>
          <w:numId w:val="0"/>
        </w:numPr>
        <w:tabs>
          <w:tab w:val="left" w:pos="284"/>
          <w:tab w:val="left" w:pos="567"/>
          <w:tab w:val="clear" w:pos="0"/>
        </w:tabs>
        <w:spacing w:before="156" w:after="156"/>
        <w:rPr>
          <w:rFonts w:hAnsi="黑体"/>
          <w:sz w:val="24"/>
          <w:szCs w:val="24"/>
        </w:rPr>
      </w:pPr>
      <w:bookmarkStart w:id="0" w:name="_Toc56512095"/>
      <w:bookmarkStart w:id="1" w:name="_Toc524537690"/>
      <w:r>
        <w:rPr>
          <w:rFonts w:hint="eastAsia" w:ascii="仿宋_GB2312" w:hAnsi="宋体" w:eastAsia="仿宋_GB2312"/>
          <w:b/>
          <w:kern w:val="2"/>
          <w:sz w:val="24"/>
          <w:szCs w:val="24"/>
        </w:rPr>
        <w:t xml:space="preserve">4.3.1.1 </w:t>
      </w:r>
      <w:r>
        <w:rPr>
          <w:rFonts w:hint="eastAsia" w:hAnsi="黑体"/>
          <w:sz w:val="24"/>
          <w:szCs w:val="24"/>
        </w:rPr>
        <w:t>设计研发</w:t>
      </w:r>
      <w:bookmarkEnd w:id="0"/>
    </w:p>
    <w:p>
      <w:pPr>
        <w:pStyle w:val="16"/>
        <w:spacing w:before="0" w:beforeLines="0" w:after="0" w:afterLines="0" w:line="360" w:lineRule="auto"/>
        <w:ind w:firstLine="480" w:firstLineChars="200"/>
        <w:rPr>
          <w:rFonts w:ascii="仿宋_GB2312" w:hAnsi="宋体" w:eastAsia="仿宋_GB2312"/>
          <w:kern w:val="2"/>
          <w:sz w:val="24"/>
          <w:szCs w:val="24"/>
        </w:rPr>
      </w:pPr>
      <w:bookmarkStart w:id="2" w:name="_Toc56512096"/>
      <w:r>
        <w:rPr>
          <w:rFonts w:hint="eastAsia" w:ascii="仿宋_GB2312" w:hAnsi="宋体" w:eastAsia="仿宋_GB2312"/>
          <w:kern w:val="2"/>
          <w:sz w:val="24"/>
          <w:szCs w:val="24"/>
        </w:rPr>
        <w:t>1）应遵循“实用与审美相统一”的原则，采用团扇独特的一体化成品技术和精细工序，体现舒适 轻便、牢固耐用、美观得体的特点。</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2）应融入文化释义，可采用书画、</w:t>
      </w:r>
      <w:r>
        <w:rPr>
          <w:rFonts w:ascii="仿宋_GB2312" w:hAnsi="宋体" w:eastAsia="仿宋_GB2312"/>
          <w:kern w:val="2"/>
          <w:sz w:val="24"/>
          <w:szCs w:val="24"/>
        </w:rPr>
        <w:t>绣花</w:t>
      </w:r>
      <w:r>
        <w:rPr>
          <w:rFonts w:hint="eastAsia" w:ascii="仿宋_GB2312" w:hAnsi="宋体" w:eastAsia="仿宋_GB2312"/>
          <w:kern w:val="2"/>
          <w:sz w:val="24"/>
          <w:szCs w:val="24"/>
        </w:rPr>
        <w:t>、剪贴等丰富装饰工艺。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3）</w:t>
      </w:r>
      <w:r>
        <w:rPr>
          <w:rFonts w:ascii="仿宋_GB2312" w:hAnsi="宋体" w:eastAsia="仿宋_GB2312"/>
          <w:kern w:val="2"/>
          <w:sz w:val="24"/>
          <w:szCs w:val="24"/>
        </w:rPr>
        <w:t>应具备对个性化订制产品，进行多样化设计的能力。</w:t>
      </w:r>
    </w:p>
    <w:p>
      <w:pPr>
        <w:pStyle w:val="16"/>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4）</w:t>
      </w:r>
      <w:r>
        <w:rPr>
          <w:rFonts w:ascii="仿宋_GB2312" w:hAnsi="宋体" w:eastAsia="仿宋_GB2312"/>
          <w:kern w:val="2"/>
          <w:sz w:val="24"/>
          <w:szCs w:val="24"/>
        </w:rPr>
        <w:t>应</w:t>
      </w:r>
      <w:r>
        <w:rPr>
          <w:rFonts w:hint="eastAsia" w:ascii="仿宋_GB2312" w:hAnsi="宋体" w:eastAsia="仿宋_GB2312"/>
          <w:kern w:val="2"/>
          <w:sz w:val="24"/>
          <w:szCs w:val="24"/>
        </w:rPr>
        <w:t>具备</w:t>
      </w:r>
      <w:r>
        <w:rPr>
          <w:rFonts w:ascii="仿宋_GB2312" w:hAnsi="宋体" w:eastAsia="仿宋_GB2312"/>
          <w:kern w:val="2"/>
          <w:sz w:val="24"/>
          <w:szCs w:val="24"/>
        </w:rPr>
        <w:t>对手工技术人员的培训及技艺的传承</w:t>
      </w:r>
      <w:r>
        <w:rPr>
          <w:rFonts w:hint="eastAsia" w:ascii="仿宋_GB2312" w:hAnsi="宋体" w:eastAsia="仿宋_GB2312"/>
          <w:kern w:val="2"/>
          <w:sz w:val="24"/>
          <w:szCs w:val="24"/>
        </w:rPr>
        <w:t>。</w:t>
      </w:r>
    </w:p>
    <w:p>
      <w:pPr>
        <w:pStyle w:val="16"/>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5）</w:t>
      </w:r>
      <w:r>
        <w:rPr>
          <w:rFonts w:ascii="仿宋_GB2312" w:hAnsi="宋体" w:eastAsia="仿宋_GB2312"/>
          <w:kern w:val="2"/>
          <w:sz w:val="24"/>
          <w:szCs w:val="24"/>
        </w:rPr>
        <w:t>应具备产品与设计一致性的能力</w:t>
      </w:r>
      <w:r>
        <w:rPr>
          <w:rFonts w:hint="eastAsia" w:ascii="仿宋_GB2312" w:hAnsi="宋体" w:eastAsia="仿宋_GB2312"/>
          <w:kern w:val="2"/>
          <w:sz w:val="24"/>
          <w:szCs w:val="24"/>
        </w:rPr>
        <w:t>。</w:t>
      </w:r>
    </w:p>
    <w:p>
      <w:pPr>
        <w:pStyle w:val="15"/>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sz w:val="24"/>
          <w:szCs w:val="24"/>
        </w:rPr>
        <w:t>4.3.1.2 原材料</w:t>
      </w:r>
      <w:bookmarkEnd w:id="1"/>
      <w:bookmarkEnd w:id="2"/>
    </w:p>
    <w:p>
      <w:pPr>
        <w:pStyle w:val="16"/>
        <w:spacing w:before="0" w:beforeLines="0" w:after="0" w:afterLines="0" w:line="360" w:lineRule="auto"/>
        <w:ind w:firstLine="480" w:firstLineChars="200"/>
        <w:rPr>
          <w:rFonts w:ascii="仿宋_GB2312" w:hAnsi="宋体" w:eastAsia="仿宋_GB2312"/>
          <w:kern w:val="2"/>
          <w:sz w:val="24"/>
          <w:szCs w:val="24"/>
        </w:rPr>
      </w:pPr>
      <w:bookmarkStart w:id="3" w:name="_Toc56512101"/>
      <w:bookmarkStart w:id="4" w:name="_Toc524537692"/>
      <w:r>
        <w:rPr>
          <w:rFonts w:hint="eastAsia" w:ascii="仿宋_GB2312" w:hAnsi="宋体" w:eastAsia="仿宋_GB2312"/>
          <w:kern w:val="2"/>
          <w:sz w:val="24"/>
          <w:szCs w:val="24"/>
        </w:rPr>
        <w:t>1）扇面纺织面料：有绢(真丝)应符合GB/T 15551—2016中二等品规定的要求；写真布(广告布)应符合FZ/T 64050—2014中Ⅰ类规定的要求；涤纶(仿真丝)应符合FZ/T 43045—2017中二等品规定的要求。</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2）油墨用料应符合QB/T 2930.1、QB/T 2930.2规定的要求。</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3）扇面胶粘剂应符合HG/2727—2010中常年用型规定的要求。</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4）扇框用料：金属件应无锈迹；竹质件应采用5～8年的竹材，去皮；</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5）扇柄用料：木质件应采用原木加工而成；竹质件应采用5～8年生的竹材加工而成。</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6）扇须应符合GB/T 22282规定的要求。</w:t>
      </w:r>
    </w:p>
    <w:p>
      <w:pPr>
        <w:pStyle w:val="15"/>
        <w:numPr>
          <w:ilvl w:val="1"/>
          <w:numId w:val="0"/>
        </w:numPr>
        <w:tabs>
          <w:tab w:val="left" w:pos="284"/>
          <w:tab w:val="left" w:pos="567"/>
          <w:tab w:val="clear" w:pos="0"/>
        </w:tabs>
        <w:spacing w:before="156" w:after="156" w:line="360" w:lineRule="auto"/>
        <w:rPr>
          <w:rFonts w:hAnsi="黑体"/>
          <w:sz w:val="24"/>
          <w:szCs w:val="24"/>
        </w:rPr>
      </w:pPr>
      <w:r>
        <w:rPr>
          <w:rFonts w:hint="eastAsia" w:hAnsi="黑体"/>
          <w:sz w:val="24"/>
          <w:szCs w:val="24"/>
        </w:rPr>
        <w:t>4.3.1.3 主要工艺</w:t>
      </w:r>
      <w:bookmarkEnd w:id="3"/>
      <w:bookmarkEnd w:id="4"/>
      <w:bookmarkStart w:id="5" w:name="_Toc461616891"/>
      <w:bookmarkStart w:id="6" w:name="_Toc56512102"/>
      <w:r>
        <w:rPr>
          <w:rFonts w:hint="eastAsia" w:hAnsi="黑体"/>
          <w:sz w:val="24"/>
          <w:szCs w:val="24"/>
        </w:rPr>
        <w:t>工装</w:t>
      </w:r>
    </w:p>
    <w:p>
      <w:pPr>
        <w:pStyle w:val="16"/>
        <w:spacing w:before="0" w:beforeLines="0" w:after="0" w:afterLines="0" w:line="360" w:lineRule="auto"/>
        <w:ind w:firstLine="482" w:firstLineChars="200"/>
        <w:rPr>
          <w:rFonts w:ascii="仿宋_GB2312" w:hAnsi="宋体" w:eastAsia="仿宋_GB2312"/>
          <w:b/>
          <w:bCs/>
          <w:kern w:val="2"/>
          <w:sz w:val="24"/>
          <w:szCs w:val="24"/>
        </w:rPr>
      </w:pPr>
      <w:r>
        <w:rPr>
          <w:rFonts w:hint="eastAsia" w:ascii="仿宋_GB2312" w:hAnsi="宋体" w:eastAsia="仿宋_GB2312"/>
          <w:b/>
          <w:bCs/>
          <w:kern w:val="2"/>
          <w:sz w:val="24"/>
          <w:szCs w:val="24"/>
        </w:rPr>
        <w:t>绷面工艺：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1）扇框涂胶工艺要求胶粘剂需要均匀涂抹在框上，不能有滴胶现象出现。</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2）手拉扇面布料对角线分别要成直线绷紧。</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3）扇面沿扇框拉平时需要对称拉平后进行细微调整直至绷好的扇面能平整放在平面上无翘起现象 。</w:t>
      </w:r>
    </w:p>
    <w:p>
      <w:pPr>
        <w:pStyle w:val="16"/>
        <w:spacing w:before="0" w:beforeLines="0" w:after="0" w:afterLines="0" w:line="360" w:lineRule="auto"/>
        <w:ind w:firstLine="482" w:firstLineChars="200"/>
        <w:rPr>
          <w:rFonts w:ascii="仿宋_GB2312" w:hAnsi="宋体" w:eastAsia="仿宋_GB2312"/>
          <w:kern w:val="2"/>
          <w:sz w:val="24"/>
          <w:szCs w:val="24"/>
        </w:rPr>
      </w:pPr>
      <w:r>
        <w:rPr>
          <w:rFonts w:hint="eastAsia" w:ascii="仿宋_GB2312" w:hAnsi="宋体" w:eastAsia="仿宋_GB2312"/>
          <w:b/>
          <w:bCs/>
          <w:kern w:val="2"/>
          <w:sz w:val="24"/>
          <w:szCs w:val="24"/>
        </w:rPr>
        <w:t>沿边工艺：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1）沿边条需要宽度均匀，符合扇框材料周长；长度合适，与外圈长度要求匹配。</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2）胶粘剂要均匀涂抹在沿边条背面用湿布盖住防止水分脱离。</w:t>
      </w:r>
    </w:p>
    <w:p>
      <w:pPr>
        <w:pStyle w:val="16"/>
        <w:spacing w:before="0" w:beforeLines="0" w:after="0" w:afterLines="0" w:line="360" w:lineRule="auto"/>
        <w:ind w:firstLine="482" w:firstLineChars="200"/>
        <w:rPr>
          <w:rFonts w:ascii="仿宋_GB2312" w:hAnsi="宋体" w:eastAsia="仿宋_GB2312"/>
          <w:b/>
          <w:bCs/>
          <w:kern w:val="2"/>
          <w:sz w:val="24"/>
          <w:szCs w:val="24"/>
        </w:rPr>
      </w:pPr>
      <w:r>
        <w:rPr>
          <w:rFonts w:hint="eastAsia" w:ascii="仿宋_GB2312" w:hAnsi="宋体" w:eastAsia="仿宋_GB2312"/>
          <w:b/>
          <w:bCs/>
          <w:kern w:val="2"/>
          <w:sz w:val="24"/>
          <w:szCs w:val="24"/>
        </w:rPr>
        <w:t>插柄工艺：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1）扇框底部连接处需要对正并完整插入扇柄洞眼位置。</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2）胶粘剂不应接触扇面。</w:t>
      </w:r>
    </w:p>
    <w:p>
      <w:pPr>
        <w:pStyle w:val="16"/>
        <w:spacing w:before="0" w:beforeLines="0" w:after="0" w:afterLines="0" w:line="360" w:lineRule="auto"/>
        <w:ind w:firstLine="482" w:firstLineChars="200"/>
        <w:rPr>
          <w:rFonts w:ascii="仿宋_GB2312" w:hAnsi="宋体" w:eastAsia="仿宋_GB2312"/>
          <w:kern w:val="2"/>
          <w:sz w:val="24"/>
          <w:szCs w:val="24"/>
        </w:rPr>
      </w:pPr>
      <w:r>
        <w:rPr>
          <w:rFonts w:hint="eastAsia" w:ascii="仿宋_GB2312" w:hAnsi="宋体" w:eastAsia="仿宋_GB2312"/>
          <w:b/>
          <w:bCs/>
          <w:kern w:val="2"/>
          <w:sz w:val="24"/>
          <w:szCs w:val="24"/>
        </w:rPr>
        <w:t>主要工装</w:t>
      </w:r>
      <w:r>
        <w:rPr>
          <w:rFonts w:hint="eastAsia" w:ascii="仿宋_GB2312" w:hAnsi="宋体" w:eastAsia="仿宋_GB2312"/>
          <w:kern w:val="2"/>
          <w:sz w:val="24"/>
          <w:szCs w:val="24"/>
        </w:rPr>
        <w:t>：应具备数码打印机、压烫机、激光打标机等自动化设备进行喷印、转印、打标的生产的能力。</w:t>
      </w:r>
    </w:p>
    <w:bookmarkEnd w:id="5"/>
    <w:p>
      <w:pPr>
        <w:pStyle w:val="15"/>
        <w:numPr>
          <w:ilvl w:val="1"/>
          <w:numId w:val="0"/>
        </w:numPr>
        <w:tabs>
          <w:tab w:val="left" w:pos="284"/>
          <w:tab w:val="left" w:pos="567"/>
          <w:tab w:val="clear" w:pos="0"/>
        </w:tabs>
        <w:spacing w:before="156" w:after="156" w:line="360" w:lineRule="auto"/>
        <w:rPr>
          <w:rFonts w:hAnsi="黑体"/>
          <w:sz w:val="24"/>
          <w:szCs w:val="24"/>
        </w:rPr>
      </w:pPr>
      <w:r>
        <w:rPr>
          <w:rFonts w:hint="eastAsia" w:hAnsi="黑体"/>
          <w:sz w:val="24"/>
          <w:szCs w:val="24"/>
        </w:rPr>
        <w:t>4.3.1.4 检验检测</w:t>
      </w:r>
      <w:bookmarkEnd w:id="6"/>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1）应具备外观质量要求、规格尺寸及允许偏差出厂检验项目的检测能力。</w:t>
      </w:r>
    </w:p>
    <w:p>
      <w:pPr>
        <w:pStyle w:val="16"/>
        <w:spacing w:before="0" w:beforeLines="0" w:after="0" w:afterLines="0" w:line="360" w:lineRule="auto"/>
        <w:ind w:firstLine="480" w:firstLineChars="200"/>
      </w:pPr>
      <w:r>
        <w:rPr>
          <w:rFonts w:hint="eastAsia" w:ascii="仿宋_GB2312" w:hAnsi="宋体" w:eastAsia="仿宋_GB2312"/>
          <w:kern w:val="2"/>
          <w:sz w:val="24"/>
          <w:szCs w:val="24"/>
        </w:rPr>
        <w:t>2）应具备对原材料检验控制的能力。</w:t>
      </w:r>
    </w:p>
    <w:p>
      <w:pPr>
        <w:pStyle w:val="13"/>
        <w:numPr>
          <w:ilvl w:val="0"/>
          <w:numId w:val="0"/>
        </w:numPr>
        <w:spacing w:before="312" w:after="312"/>
        <w:jc w:val="left"/>
        <w:rPr>
          <w:rFonts w:hAnsi="黑体"/>
          <w:sz w:val="24"/>
          <w:szCs w:val="24"/>
        </w:rPr>
      </w:pPr>
      <w:r>
        <w:rPr>
          <w:rFonts w:hint="eastAsia" w:hAnsi="黑体"/>
          <w:sz w:val="24"/>
          <w:szCs w:val="24"/>
        </w:rPr>
        <w:t>4.3.2  技术要求</w:t>
      </w:r>
    </w:p>
    <w:p>
      <w:pPr>
        <w:pStyle w:val="13"/>
        <w:numPr>
          <w:ilvl w:val="0"/>
          <w:numId w:val="0"/>
        </w:numPr>
        <w:spacing w:before="312" w:after="312"/>
        <w:jc w:val="left"/>
        <w:rPr>
          <w:rFonts w:hAnsi="黑体"/>
          <w:sz w:val="24"/>
          <w:szCs w:val="24"/>
        </w:rPr>
      </w:pPr>
      <w:r>
        <w:rPr>
          <w:rFonts w:hint="eastAsia" w:hAnsi="黑体"/>
          <w:sz w:val="24"/>
          <w:szCs w:val="24"/>
        </w:rPr>
        <w:t>4.3.2.1外观及规格尺寸允许偏差</w:t>
      </w:r>
    </w:p>
    <w:p>
      <w:pPr>
        <w:pStyle w:val="14"/>
        <w:spacing w:line="360" w:lineRule="auto"/>
        <w:ind w:firstLine="480"/>
        <w:rPr>
          <w:rFonts w:eastAsia="仿宋_GB2312"/>
        </w:rPr>
      </w:pPr>
      <w:r>
        <w:rPr>
          <w:rFonts w:hint="eastAsia" w:ascii="仿宋_GB2312" w:hAnsi="宋体" w:eastAsia="仿宋_GB2312" w:cs="宋体"/>
          <w:sz w:val="24"/>
        </w:rPr>
        <w:t>外观质量及规格尺寸允许偏差以 T/ZZ</w:t>
      </w:r>
      <w:r>
        <w:rPr>
          <w:rFonts w:hint="eastAsia" w:ascii="仿宋_GB2312" w:hAnsi="宋体" w:eastAsia="仿宋_GB2312"/>
          <w:sz w:val="24"/>
        </w:rPr>
        <w:t>B 2607—2021</w:t>
      </w:r>
      <w:r>
        <w:rPr>
          <w:rFonts w:hint="eastAsia" w:ascii="仿宋_GB2312" w:hAnsi="宋体" w:eastAsia="仿宋_GB2312" w:cs="宋体"/>
          <w:sz w:val="24"/>
        </w:rPr>
        <w:t>《黑纸扇》标准为基础，结合客户要求及实际使用过程中遵循美观、安全等方面考虑，确定如下要求，详见表1。</w:t>
      </w:r>
    </w:p>
    <w:p>
      <w:pPr>
        <w:pStyle w:val="37"/>
        <w:tabs>
          <w:tab w:val="clear" w:pos="360"/>
        </w:tabs>
        <w:rPr>
          <w:bCs/>
          <w:szCs w:val="21"/>
        </w:rPr>
      </w:pPr>
      <w:r>
        <w:rPr>
          <w:rFonts w:hint="eastAsia"/>
          <w:bCs/>
          <w:szCs w:val="21"/>
        </w:rPr>
        <w:t>外观及规格尺寸允许偏差要求</w:t>
      </w:r>
    </w:p>
    <w:tbl>
      <w:tblPr>
        <w:tblStyle w:val="9"/>
        <w:tblW w:w="8994"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9"/>
        <w:gridCol w:w="1058"/>
        <w:gridCol w:w="6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097" w:type="dxa"/>
            <w:gridSpan w:val="2"/>
            <w:tcBorders>
              <w:top w:val="single" w:color="auto" w:sz="12" w:space="0"/>
              <w:left w:val="single" w:color="auto" w:sz="12" w:space="0"/>
              <w:bottom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项目</w:t>
            </w:r>
          </w:p>
        </w:tc>
        <w:tc>
          <w:tcPr>
            <w:tcW w:w="6897" w:type="dxa"/>
            <w:tcBorders>
              <w:top w:val="single" w:color="auto" w:sz="12" w:space="0"/>
              <w:bottom w:val="single" w:color="auto" w:sz="12" w:space="0"/>
              <w:right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39" w:type="dxa"/>
            <w:vMerge w:val="restart"/>
            <w:tcBorders>
              <w:top w:val="single" w:color="auto" w:sz="12" w:space="0"/>
              <w:left w:val="single" w:color="auto" w:sz="12" w:space="0"/>
              <w:right w:val="single" w:color="auto" w:sz="8" w:space="0"/>
            </w:tcBorders>
            <w:vAlign w:val="center"/>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扇面</w:t>
            </w:r>
          </w:p>
        </w:tc>
        <w:tc>
          <w:tcPr>
            <w:tcW w:w="1058" w:type="dxa"/>
            <w:tcBorders>
              <w:top w:val="single" w:color="auto" w:sz="12" w:space="0"/>
              <w:left w:val="single" w:color="auto" w:sz="8" w:space="0"/>
              <w:bottom w:val="single" w:color="auto" w:sz="8" w:space="0"/>
            </w:tcBorders>
            <w:vAlign w:val="center"/>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图案</w:t>
            </w:r>
          </w:p>
        </w:tc>
        <w:tc>
          <w:tcPr>
            <w:tcW w:w="6897" w:type="dxa"/>
            <w:tcBorders>
              <w:top w:val="single" w:color="auto" w:sz="12" w:space="0"/>
              <w:bottom w:val="single" w:color="auto" w:sz="8" w:space="0"/>
              <w:right w:val="single" w:color="auto" w:sz="12" w:space="0"/>
            </w:tcBorders>
          </w:tcPr>
          <w:p>
            <w:pPr>
              <w:pStyle w:val="22"/>
              <w:spacing w:before="0"/>
              <w:jc w:val="left"/>
              <w:rPr>
                <w:rFonts w:ascii="Times New Roman" w:hAnsi="Times New Roman" w:cs="Times New Roman"/>
                <w:sz w:val="18"/>
                <w:szCs w:val="18"/>
                <w:lang w:val="en-US" w:bidi="ar-SA"/>
              </w:rPr>
            </w:pPr>
            <w:r>
              <w:rPr>
                <w:rFonts w:ascii="Times New Roman" w:hAnsi="Times New Roman" w:cs="Times New Roman"/>
                <w:sz w:val="18"/>
                <w:szCs w:val="18"/>
                <w:lang w:val="en-US" w:bidi="ar-SA"/>
              </w:rPr>
              <w:t>绣花，电脑喷印、热升华转印，丝网印花，烫金和手工字画应与样稿基本一致，图案文字印刷清晰、完整，印面部位不应存在明显的划伤、错位和划痕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039"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lang w:val="en-US" w:bidi="ar-SA"/>
              </w:rPr>
            </w:pPr>
          </w:p>
        </w:tc>
        <w:tc>
          <w:tcPr>
            <w:tcW w:w="1058" w:type="dxa"/>
            <w:tcBorders>
              <w:top w:val="single" w:color="auto" w:sz="8" w:space="0"/>
              <w:left w:val="single" w:color="auto" w:sz="8" w:space="0"/>
              <w:bottom w:val="single" w:color="auto" w:sz="8"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扇面布料</w:t>
            </w:r>
          </w:p>
        </w:tc>
        <w:tc>
          <w:tcPr>
            <w:tcW w:w="6897" w:type="dxa"/>
            <w:tcBorders>
              <w:top w:val="single" w:color="auto" w:sz="8" w:space="0"/>
              <w:right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扇面没明显污迹，跳丝,断线等缺陷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039"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lang w:val="en-US" w:bidi="ar-SA"/>
              </w:rPr>
            </w:pPr>
          </w:p>
        </w:tc>
        <w:tc>
          <w:tcPr>
            <w:tcW w:w="1058" w:type="dxa"/>
            <w:tcBorders>
              <w:top w:val="single" w:color="auto" w:sz="8" w:space="0"/>
              <w:left w:val="single" w:color="auto" w:sz="8"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绷面</w:t>
            </w:r>
          </w:p>
        </w:tc>
        <w:tc>
          <w:tcPr>
            <w:tcW w:w="6897" w:type="dxa"/>
            <w:tcBorders>
              <w:right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松紧适度，基本平整，没脱胶现象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039" w:type="dxa"/>
            <w:vMerge w:val="restart"/>
            <w:tcBorders>
              <w:top w:val="single" w:color="auto" w:sz="8" w:space="0"/>
              <w:left w:val="single" w:color="auto" w:sz="12" w:space="0"/>
              <w:right w:val="single" w:color="auto" w:sz="8" w:space="0"/>
            </w:tcBorders>
            <w:vAlign w:val="center"/>
          </w:tcPr>
          <w:p>
            <w:pPr>
              <w:pStyle w:val="22"/>
              <w:spacing w:before="0"/>
              <w:rPr>
                <w:rFonts w:ascii="Times New Roman" w:hAnsi="Times New Roman" w:cs="Times New Roman"/>
                <w:sz w:val="18"/>
                <w:szCs w:val="18"/>
                <w:highlight w:val="yellow"/>
                <w:lang w:val="en-US" w:bidi="ar-SA"/>
              </w:rPr>
            </w:pPr>
            <w:r>
              <w:rPr>
                <w:rFonts w:hint="eastAsia" w:ascii="Times New Roman" w:hAnsi="Times New Roman" w:cs="Times New Roman"/>
                <w:sz w:val="18"/>
                <w:szCs w:val="18"/>
                <w:lang w:val="en-US" w:bidi="ar-SA"/>
              </w:rPr>
              <w:t>扇框</w:t>
            </w:r>
          </w:p>
        </w:tc>
        <w:tc>
          <w:tcPr>
            <w:tcW w:w="1058" w:type="dxa"/>
            <w:tcBorders>
              <w:top w:val="single" w:color="auto" w:sz="8" w:space="0"/>
              <w:left w:val="single" w:color="auto" w:sz="8" w:space="0"/>
              <w:bottom w:val="single" w:color="auto" w:sz="8" w:space="0"/>
            </w:tcBorders>
          </w:tcPr>
          <w:p>
            <w:pPr>
              <w:pStyle w:val="22"/>
              <w:spacing w:before="0"/>
              <w:rPr>
                <w:rFonts w:ascii="Times New Roman" w:hAnsi="Times New Roman" w:cs="Times New Roman"/>
                <w:sz w:val="18"/>
                <w:szCs w:val="18"/>
                <w:lang w:val="en-US" w:bidi="ar-SA"/>
              </w:rPr>
            </w:pPr>
            <w:r>
              <w:rPr>
                <w:sz w:val="18"/>
                <w:szCs w:val="18"/>
              </w:rPr>
              <w:t>外型</w:t>
            </w:r>
          </w:p>
        </w:tc>
        <w:tc>
          <w:tcPr>
            <w:tcW w:w="6897" w:type="dxa"/>
            <w:tcBorders>
              <w:top w:val="single" w:color="auto" w:sz="8" w:space="0"/>
              <w:right w:val="single" w:color="auto" w:sz="12" w:space="0"/>
            </w:tcBorders>
          </w:tcPr>
          <w:p>
            <w:pPr>
              <w:pStyle w:val="22"/>
              <w:spacing w:before="0"/>
              <w:rPr>
                <w:rFonts w:ascii="Times New Roman" w:hAnsi="Times New Roman" w:cs="Times New Roman"/>
                <w:sz w:val="18"/>
                <w:szCs w:val="18"/>
                <w:lang w:val="en-US" w:bidi="ar-SA"/>
              </w:rPr>
            </w:pPr>
            <w:r>
              <w:rPr>
                <w:sz w:val="18"/>
                <w:szCs w:val="18"/>
              </w:rPr>
              <w:t>扇框及扇柄外表面平整、光洁，外形左右基本对称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039"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highlight w:val="yellow"/>
                <w:lang w:val="en-US" w:bidi="ar-SA"/>
              </w:rPr>
            </w:pPr>
          </w:p>
        </w:tc>
        <w:tc>
          <w:tcPr>
            <w:tcW w:w="1058" w:type="dxa"/>
            <w:tcBorders>
              <w:top w:val="single" w:color="auto" w:sz="8" w:space="0"/>
              <w:left w:val="single" w:color="auto" w:sz="8" w:space="0"/>
            </w:tcBorders>
          </w:tcPr>
          <w:p>
            <w:pPr>
              <w:pStyle w:val="22"/>
              <w:spacing w:before="0"/>
              <w:rPr>
                <w:rFonts w:ascii="Times New Roman" w:hAnsi="Times New Roman" w:cs="Times New Roman"/>
                <w:sz w:val="18"/>
                <w:szCs w:val="18"/>
                <w:lang w:val="en-US" w:bidi="ar-SA"/>
              </w:rPr>
            </w:pPr>
            <w:r>
              <w:rPr>
                <w:sz w:val="18"/>
                <w:szCs w:val="18"/>
              </w:rPr>
              <w:t>色泽</w:t>
            </w:r>
          </w:p>
        </w:tc>
        <w:tc>
          <w:tcPr>
            <w:tcW w:w="6897" w:type="dxa"/>
            <w:tcBorders>
              <w:right w:val="single" w:color="auto" w:sz="12" w:space="0"/>
            </w:tcBorders>
          </w:tcPr>
          <w:p>
            <w:pPr>
              <w:pStyle w:val="22"/>
              <w:spacing w:before="0"/>
              <w:rPr>
                <w:rFonts w:ascii="Times New Roman" w:hAnsi="Times New Roman" w:cs="Times New Roman"/>
                <w:sz w:val="18"/>
                <w:szCs w:val="18"/>
                <w:lang w:val="en-US" w:bidi="ar-SA"/>
              </w:rPr>
            </w:pPr>
            <w:r>
              <w:rPr>
                <w:sz w:val="18"/>
                <w:szCs w:val="18"/>
              </w:rPr>
              <w:t>无明显色差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097" w:type="dxa"/>
            <w:gridSpan w:val="2"/>
            <w:tcBorders>
              <w:left w:val="single" w:color="auto" w:sz="12" w:space="0"/>
            </w:tcBorders>
          </w:tcPr>
          <w:p>
            <w:pPr>
              <w:pStyle w:val="22"/>
              <w:spacing w:before="0"/>
              <w:rPr>
                <w:sz w:val="18"/>
                <w:szCs w:val="18"/>
                <w:lang w:val="en-US"/>
              </w:rPr>
            </w:pPr>
            <w:r>
              <w:rPr>
                <w:rFonts w:hint="eastAsia"/>
                <w:sz w:val="18"/>
                <w:szCs w:val="18"/>
                <w:lang w:val="en-US"/>
              </w:rPr>
              <w:t>扇柄</w:t>
            </w:r>
          </w:p>
        </w:tc>
        <w:tc>
          <w:tcPr>
            <w:tcW w:w="6897" w:type="dxa"/>
            <w:tcBorders>
              <w:right w:val="single" w:color="auto" w:sz="12" w:space="0"/>
            </w:tcBorders>
          </w:tcPr>
          <w:p>
            <w:pPr>
              <w:pStyle w:val="22"/>
              <w:spacing w:before="0"/>
              <w:rPr>
                <w:rFonts w:ascii="Times New Roman" w:hAnsi="Times New Roman" w:cs="Times New Roman"/>
                <w:sz w:val="18"/>
                <w:szCs w:val="18"/>
                <w:highlight w:val="yellow"/>
                <w:lang w:val="en-US" w:bidi="ar-SA"/>
              </w:rPr>
            </w:pPr>
            <w:r>
              <w:rPr>
                <w:rFonts w:hint="eastAsia"/>
                <w:sz w:val="18"/>
                <w:szCs w:val="18"/>
                <w:lang w:val="en-US"/>
              </w:rPr>
              <w:t>无隙裂，无毛刺扎手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097" w:type="dxa"/>
            <w:gridSpan w:val="2"/>
            <w:tcBorders>
              <w:left w:val="single" w:color="auto" w:sz="12" w:space="0"/>
            </w:tcBorders>
          </w:tcPr>
          <w:p>
            <w:pPr>
              <w:pStyle w:val="22"/>
              <w:spacing w:before="0"/>
              <w:rPr>
                <w:rFonts w:ascii="Times New Roman" w:hAnsi="Times New Roman" w:cs="Times New Roman"/>
                <w:sz w:val="18"/>
                <w:szCs w:val="18"/>
                <w:lang w:val="en-US" w:bidi="ar-SA"/>
              </w:rPr>
            </w:pPr>
            <w:r>
              <w:rPr>
                <w:rFonts w:hint="eastAsia"/>
                <w:sz w:val="18"/>
                <w:szCs w:val="18"/>
                <w:lang w:val="en-US"/>
              </w:rPr>
              <w:t>扇须</w:t>
            </w:r>
          </w:p>
        </w:tc>
        <w:tc>
          <w:tcPr>
            <w:tcW w:w="6897" w:type="dxa"/>
            <w:tcBorders>
              <w:right w:val="single" w:color="auto" w:sz="12" w:space="0"/>
            </w:tcBorders>
          </w:tcPr>
          <w:p>
            <w:pPr>
              <w:pStyle w:val="22"/>
              <w:spacing w:before="0"/>
              <w:rPr>
                <w:sz w:val="18"/>
                <w:szCs w:val="18"/>
                <w:lang w:val="en-US"/>
              </w:rPr>
            </w:pPr>
            <w:r>
              <w:rPr>
                <w:rFonts w:hint="eastAsia"/>
                <w:sz w:val="18"/>
                <w:szCs w:val="18"/>
                <w:lang w:val="en-US"/>
              </w:rPr>
              <w:t>须结不松散不脱落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097" w:type="dxa"/>
            <w:gridSpan w:val="2"/>
            <w:tcBorders>
              <w:left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沿</w:t>
            </w:r>
            <w:r>
              <w:rPr>
                <w:rFonts w:hint="eastAsia" w:ascii="Times New Roman" w:hAnsi="Times New Roman" w:cs="Times New Roman"/>
                <w:sz w:val="18"/>
                <w:szCs w:val="18"/>
                <w:lang w:val="en-US" w:bidi="ar-SA"/>
              </w:rPr>
              <w:t>边</w:t>
            </w:r>
            <w:r>
              <w:rPr>
                <w:rFonts w:ascii="Times New Roman" w:hAnsi="Times New Roman" w:cs="Times New Roman"/>
                <w:sz w:val="18"/>
                <w:szCs w:val="18"/>
                <w:lang w:val="en-US" w:bidi="ar-SA"/>
              </w:rPr>
              <w:t>条</w:t>
            </w:r>
          </w:p>
        </w:tc>
        <w:tc>
          <w:tcPr>
            <w:tcW w:w="6897" w:type="dxa"/>
            <w:tcBorders>
              <w:right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基本均匀、无壳条、断条、缺损等缺陷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097" w:type="dxa"/>
            <w:gridSpan w:val="2"/>
            <w:tcBorders>
              <w:left w:val="single" w:color="auto" w:sz="12" w:space="0"/>
              <w:bottom w:val="single" w:color="auto" w:sz="12" w:space="0"/>
            </w:tcBorders>
          </w:tcPr>
          <w:p>
            <w:pPr>
              <w:pStyle w:val="22"/>
              <w:spacing w:before="0"/>
              <w:rPr>
                <w:rFonts w:ascii="Times New Roman" w:hAnsi="Times New Roman" w:cs="Times New Roman"/>
                <w:sz w:val="18"/>
                <w:szCs w:val="18"/>
                <w:lang w:val="en-US" w:bidi="ar-SA"/>
              </w:rPr>
            </w:pPr>
            <w:r>
              <w:rPr>
                <w:rFonts w:hint="eastAsia"/>
                <w:sz w:val="18"/>
                <w:szCs w:val="18"/>
                <w:lang w:val="en-US"/>
              </w:rPr>
              <w:t>柄、扇面规格尺寸允许偏差</w:t>
            </w:r>
          </w:p>
        </w:tc>
        <w:tc>
          <w:tcPr>
            <w:tcW w:w="6897" w:type="dxa"/>
            <w:tcBorders>
              <w:bottom w:val="single" w:color="auto" w:sz="12" w:space="0"/>
              <w:right w:val="single" w:color="auto" w:sz="12" w:space="0"/>
            </w:tcBorders>
          </w:tcPr>
          <w:p>
            <w:pPr>
              <w:pStyle w:val="22"/>
              <w:spacing w:before="0"/>
              <w:rPr>
                <w:rFonts w:ascii="Times New Roman" w:hAnsi="Times New Roman" w:cs="Times New Roman"/>
                <w:sz w:val="18"/>
                <w:szCs w:val="18"/>
                <w:lang w:val="en-US" w:bidi="ar-SA"/>
              </w:rPr>
            </w:pPr>
            <w:r>
              <w:rPr>
                <w:rFonts w:hint="eastAsia"/>
                <w:sz w:val="18"/>
                <w:szCs w:val="18"/>
                <w:lang w:val="en-US"/>
              </w:rPr>
              <w:t>≤±4mm</w:t>
            </w:r>
          </w:p>
        </w:tc>
      </w:tr>
    </w:tbl>
    <w:p>
      <w:pPr>
        <w:pStyle w:val="13"/>
        <w:numPr>
          <w:ilvl w:val="0"/>
          <w:numId w:val="0"/>
        </w:numPr>
        <w:spacing w:before="312" w:after="312"/>
        <w:jc w:val="left"/>
        <w:rPr>
          <w:rFonts w:hAnsi="黑体"/>
          <w:sz w:val="24"/>
          <w:szCs w:val="24"/>
        </w:rPr>
      </w:pPr>
      <w:r>
        <w:rPr>
          <w:rFonts w:hint="eastAsia" w:hAnsi="黑体"/>
          <w:sz w:val="24"/>
          <w:szCs w:val="24"/>
        </w:rPr>
        <w:t>4.3.2.2 理化性能要求</w:t>
      </w:r>
    </w:p>
    <w:p>
      <w:pPr>
        <w:pStyle w:val="14"/>
        <w:spacing w:line="360" w:lineRule="auto"/>
        <w:ind w:firstLine="480"/>
        <w:rPr>
          <w:rFonts w:ascii="仿宋_GB2312" w:hAnsi="宋体" w:eastAsia="仿宋_GB2312" w:cs="宋体"/>
          <w:sz w:val="24"/>
        </w:rPr>
      </w:pPr>
      <w:r>
        <w:rPr>
          <w:rFonts w:hint="eastAsia" w:ascii="仿宋_GB2312" w:hAnsi="宋体" w:eastAsia="仿宋_GB2312" w:cs="宋体"/>
          <w:sz w:val="24"/>
        </w:rPr>
        <w:t>出厂含水率根据根据竹木材防霉、变形等最佳范围确认；有害元素限量根据</w:t>
      </w:r>
      <w:r>
        <w:rPr>
          <w:rFonts w:ascii="仿宋_GB2312" w:hAnsi="宋体" w:eastAsia="仿宋_GB2312" w:cs="宋体"/>
          <w:sz w:val="24"/>
        </w:rPr>
        <w:t>GB 28480 饰品 有害元素限量的规定</w:t>
      </w:r>
      <w:r>
        <w:rPr>
          <w:rFonts w:hint="eastAsia" w:ascii="仿宋_GB2312" w:hAnsi="宋体" w:eastAsia="仿宋_GB2312" w:cs="宋体"/>
          <w:sz w:val="24"/>
        </w:rPr>
        <w:t>确认；扇面游离甲醛限量根据 T/ZZB 2607—2021《黑纸扇》，详见表2。</w:t>
      </w:r>
    </w:p>
    <w:p>
      <w:pPr>
        <w:pStyle w:val="37"/>
        <w:tabs>
          <w:tab w:val="clear" w:pos="360"/>
        </w:tabs>
        <w:rPr>
          <w:bCs/>
          <w:szCs w:val="21"/>
        </w:rPr>
      </w:pPr>
      <w:r>
        <w:rPr>
          <w:rFonts w:hint="eastAsia"/>
          <w:bCs/>
          <w:szCs w:val="21"/>
        </w:rPr>
        <w:t>理化性能要求</w:t>
      </w:r>
    </w:p>
    <w:tbl>
      <w:tblPr>
        <w:tblStyle w:val="10"/>
        <w:tblW w:w="91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050"/>
        <w:gridCol w:w="6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010" w:type="dxa"/>
            <w:tcBorders>
              <w:bottom w:val="single" w:color="auto" w:sz="12" w:space="0"/>
            </w:tcBorders>
            <w:vAlign w:val="center"/>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w:t>
            </w:r>
            <w:r>
              <w:rPr>
                <w:rFonts w:hint="eastAsia" w:ascii="Times New Roman" w:hAnsi="Times New Roman" w:cs="Times New Roman"/>
                <w:sz w:val="18"/>
                <w:szCs w:val="18"/>
                <w:lang w:val="en-US" w:bidi="ar-SA"/>
              </w:rPr>
              <w:t>序号</w:t>
            </w:r>
          </w:p>
        </w:tc>
        <w:tc>
          <w:tcPr>
            <w:tcW w:w="2050" w:type="dxa"/>
            <w:tcBorders>
              <w:bottom w:val="single" w:color="auto" w:sz="12" w:space="0"/>
            </w:tcBorders>
            <w:vAlign w:val="center"/>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项目</w:t>
            </w:r>
          </w:p>
        </w:tc>
        <w:tc>
          <w:tcPr>
            <w:tcW w:w="6126" w:type="dxa"/>
            <w:tcBorders>
              <w:bottom w:val="single" w:color="auto" w:sz="12" w:space="0"/>
            </w:tcBorders>
            <w:vAlign w:val="center"/>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10" w:type="dxa"/>
            <w:tcBorders>
              <w:top w:val="single" w:color="auto" w:sz="12" w:space="0"/>
              <w:tl2br w:val="nil"/>
              <w:tr2bl w:val="nil"/>
            </w:tcBorders>
            <w:vAlign w:val="center"/>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1</w:t>
            </w:r>
          </w:p>
        </w:tc>
        <w:tc>
          <w:tcPr>
            <w:tcW w:w="2050" w:type="dxa"/>
            <w:tcBorders>
              <w:top w:val="single" w:color="auto" w:sz="12" w:space="0"/>
              <w:tl2br w:val="nil"/>
              <w:tr2bl w:val="nil"/>
            </w:tcBorders>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出厂含水率</w:t>
            </w:r>
          </w:p>
        </w:tc>
        <w:tc>
          <w:tcPr>
            <w:tcW w:w="6126" w:type="dxa"/>
            <w:tcBorders>
              <w:top w:val="single" w:color="auto" w:sz="12" w:space="0"/>
              <w:tl2br w:val="nil"/>
              <w:tr2bl w:val="nil"/>
            </w:tcBorders>
            <w:vAlign w:val="center"/>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7%～14%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10" w:type="dxa"/>
            <w:tcBorders>
              <w:tl2br w:val="nil"/>
              <w:tr2bl w:val="nil"/>
            </w:tcBorders>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2</w:t>
            </w:r>
          </w:p>
        </w:tc>
        <w:tc>
          <w:tcPr>
            <w:tcW w:w="2050" w:type="dxa"/>
            <w:tcBorders>
              <w:tl2br w:val="nil"/>
              <w:tr2bl w:val="nil"/>
            </w:tcBorders>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有害元素限量</w:t>
            </w:r>
          </w:p>
        </w:tc>
        <w:tc>
          <w:tcPr>
            <w:tcW w:w="6126" w:type="dxa"/>
            <w:tcBorders>
              <w:tl2br w:val="nil"/>
              <w:tr2bl w:val="nil"/>
            </w:tcBorders>
            <w:vAlign w:val="center"/>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应符合GB 28480的相关规定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10" w:type="dxa"/>
            <w:tcBorders>
              <w:tl2br w:val="nil"/>
              <w:tr2bl w:val="nil"/>
            </w:tcBorders>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3</w:t>
            </w:r>
          </w:p>
        </w:tc>
        <w:tc>
          <w:tcPr>
            <w:tcW w:w="2050" w:type="dxa"/>
            <w:tcBorders>
              <w:tl2br w:val="nil"/>
              <w:tr2bl w:val="nil"/>
            </w:tcBorders>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扇面游离甲醛限量</w:t>
            </w:r>
          </w:p>
        </w:tc>
        <w:tc>
          <w:tcPr>
            <w:tcW w:w="6126" w:type="dxa"/>
            <w:tcBorders>
              <w:tl2br w:val="nil"/>
              <w:tr2bl w:val="nil"/>
            </w:tcBorders>
            <w:vAlign w:val="center"/>
          </w:tcPr>
          <w:p>
            <w:pPr>
              <w:pStyle w:val="22"/>
              <w:spacing w:before="0"/>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不得检出</w:t>
            </w:r>
          </w:p>
        </w:tc>
      </w:tr>
    </w:tbl>
    <w:p>
      <w:pPr>
        <w:pStyle w:val="13"/>
        <w:numPr>
          <w:ilvl w:val="0"/>
          <w:numId w:val="0"/>
        </w:numPr>
        <w:spacing w:before="312" w:after="312"/>
        <w:jc w:val="left"/>
        <w:outlineLvl w:val="2"/>
        <w:rPr>
          <w:rFonts w:hAnsi="黑体"/>
          <w:sz w:val="24"/>
          <w:szCs w:val="24"/>
        </w:rPr>
      </w:pPr>
      <w:r>
        <w:rPr>
          <w:rFonts w:hint="eastAsia" w:hAnsi="黑体"/>
          <w:sz w:val="24"/>
          <w:szCs w:val="24"/>
        </w:rPr>
        <w:t>4.3.2.3 耐久性能要求</w:t>
      </w:r>
    </w:p>
    <w:p>
      <w:pPr>
        <w:pStyle w:val="14"/>
        <w:spacing w:line="360" w:lineRule="auto"/>
        <w:ind w:firstLine="480"/>
        <w:rPr>
          <w:rFonts w:ascii="仿宋_GB2312" w:hAnsi="宋体" w:eastAsia="仿宋_GB2312" w:cs="宋体"/>
          <w:sz w:val="24"/>
        </w:rPr>
      </w:pPr>
      <w:r>
        <w:rPr>
          <w:rFonts w:hint="eastAsia" w:ascii="仿宋_GB2312" w:hAnsi="宋体" w:eastAsia="仿宋_GB2312" w:cs="宋体"/>
          <w:sz w:val="24"/>
        </w:rPr>
        <w:t>使用寿命根据 T/ZZB 2607—2021《黑纸扇》确认；耐跌落性根据实际使用过程中，人手基本离地面的高度及使用场所确认；使用安全根据从使用过程中对人体伤害程度确认；牢固度根据使用过程中最大扇力确认，详见表3。</w:t>
      </w:r>
    </w:p>
    <w:p>
      <w:pPr>
        <w:pStyle w:val="37"/>
        <w:tabs>
          <w:tab w:val="clear" w:pos="360"/>
        </w:tabs>
        <w:rPr>
          <w:bCs/>
          <w:szCs w:val="21"/>
        </w:rPr>
      </w:pPr>
      <w:r>
        <w:rPr>
          <w:rFonts w:hint="eastAsia"/>
          <w:bCs/>
          <w:szCs w:val="21"/>
        </w:rPr>
        <w:t>耐久性能要求</w:t>
      </w:r>
    </w:p>
    <w:tbl>
      <w:tblPr>
        <w:tblStyle w:val="10"/>
        <w:tblW w:w="91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385"/>
        <w:gridCol w:w="6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010" w:type="dxa"/>
            <w:tcBorders>
              <w:bottom w:val="single" w:color="auto" w:sz="12" w:space="0"/>
            </w:tcBorders>
            <w:vAlign w:val="center"/>
          </w:tcPr>
          <w:p>
            <w:pPr>
              <w:jc w:val="center"/>
              <w:rPr>
                <w:rFonts w:cs="Calibri"/>
                <w:sz w:val="18"/>
                <w:szCs w:val="18"/>
              </w:rPr>
            </w:pPr>
            <w:r>
              <w:rPr>
                <w:rFonts w:cs="Calibri"/>
                <w:sz w:val="18"/>
                <w:szCs w:val="18"/>
              </w:rPr>
              <w:t>​</w:t>
            </w:r>
            <w:r>
              <w:rPr>
                <w:rFonts w:hint="eastAsia" w:cs="Calibri"/>
                <w:sz w:val="18"/>
                <w:szCs w:val="18"/>
              </w:rPr>
              <w:t>序号</w:t>
            </w:r>
          </w:p>
        </w:tc>
        <w:tc>
          <w:tcPr>
            <w:tcW w:w="1385" w:type="dxa"/>
            <w:tcBorders>
              <w:bottom w:val="single" w:color="auto" w:sz="12" w:space="0"/>
            </w:tcBorders>
            <w:vAlign w:val="center"/>
          </w:tcPr>
          <w:p>
            <w:pPr>
              <w:jc w:val="center"/>
              <w:rPr>
                <w:rFonts w:cs="Calibri"/>
                <w:sz w:val="18"/>
                <w:szCs w:val="18"/>
              </w:rPr>
            </w:pPr>
            <w:r>
              <w:rPr>
                <w:rFonts w:hint="eastAsia" w:cs="Calibri"/>
                <w:sz w:val="18"/>
                <w:szCs w:val="18"/>
              </w:rPr>
              <w:t>项目</w:t>
            </w:r>
          </w:p>
        </w:tc>
        <w:tc>
          <w:tcPr>
            <w:tcW w:w="6791" w:type="dxa"/>
            <w:tcBorders>
              <w:bottom w:val="single" w:color="auto" w:sz="12" w:space="0"/>
            </w:tcBorders>
            <w:vAlign w:val="center"/>
          </w:tcPr>
          <w:p>
            <w:pPr>
              <w:jc w:val="center"/>
              <w:rPr>
                <w:rFonts w:cs="Calibri"/>
                <w:sz w:val="18"/>
                <w:szCs w:val="18"/>
              </w:rPr>
            </w:pPr>
            <w:r>
              <w:rPr>
                <w:rFonts w:hint="eastAsia" w:cs="Calibri"/>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10" w:type="dxa"/>
            <w:tcBorders>
              <w:top w:val="single" w:color="auto" w:sz="12" w:space="0"/>
              <w:tl2br w:val="nil"/>
              <w:tr2bl w:val="nil"/>
            </w:tcBorders>
            <w:vAlign w:val="center"/>
          </w:tcPr>
          <w:p>
            <w:pPr>
              <w:jc w:val="center"/>
              <w:rPr>
                <w:rFonts w:cs="Calibri"/>
                <w:sz w:val="18"/>
                <w:szCs w:val="18"/>
              </w:rPr>
            </w:pPr>
            <w:r>
              <w:rPr>
                <w:rFonts w:hint="eastAsia" w:cs="Calibri"/>
                <w:sz w:val="18"/>
                <w:szCs w:val="18"/>
              </w:rPr>
              <w:t>1</w:t>
            </w:r>
          </w:p>
        </w:tc>
        <w:tc>
          <w:tcPr>
            <w:tcW w:w="1385" w:type="dxa"/>
            <w:tcBorders>
              <w:top w:val="single" w:color="auto" w:sz="12" w:space="0"/>
              <w:tl2br w:val="nil"/>
              <w:tr2bl w:val="nil"/>
            </w:tcBorders>
          </w:tcPr>
          <w:p>
            <w:pPr>
              <w:jc w:val="center"/>
              <w:rPr>
                <w:rFonts w:cs="Calibri"/>
                <w:sz w:val="18"/>
                <w:szCs w:val="18"/>
              </w:rPr>
            </w:pPr>
            <w:r>
              <w:rPr>
                <w:rFonts w:hint="eastAsia" w:cs="Calibri"/>
                <w:sz w:val="18"/>
                <w:szCs w:val="18"/>
              </w:rPr>
              <w:t>使用寿命</w:t>
            </w:r>
          </w:p>
        </w:tc>
        <w:tc>
          <w:tcPr>
            <w:tcW w:w="6791" w:type="dxa"/>
            <w:tcBorders>
              <w:top w:val="single" w:color="auto" w:sz="12" w:space="0"/>
              <w:tl2br w:val="nil"/>
              <w:tr2bl w:val="nil"/>
            </w:tcBorders>
            <w:vAlign w:val="center"/>
          </w:tcPr>
          <w:p>
            <w:pPr>
              <w:jc w:val="center"/>
              <w:rPr>
                <w:rFonts w:cs="Calibri"/>
                <w:sz w:val="18"/>
                <w:szCs w:val="18"/>
              </w:rPr>
            </w:pPr>
            <w:r>
              <w:rPr>
                <w:rFonts w:hint="eastAsia" w:cs="Calibri"/>
                <w:sz w:val="18"/>
                <w:szCs w:val="18"/>
              </w:rPr>
              <w:t>扇面以6N力扇风，次数大于3000次，不应出现扇面破裂、扇面与扇框脱离等现象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10" w:type="dxa"/>
            <w:tcBorders>
              <w:tl2br w:val="nil"/>
              <w:tr2bl w:val="nil"/>
            </w:tcBorders>
          </w:tcPr>
          <w:p>
            <w:pPr>
              <w:jc w:val="center"/>
              <w:rPr>
                <w:rFonts w:cs="Calibri"/>
                <w:sz w:val="18"/>
                <w:szCs w:val="18"/>
              </w:rPr>
            </w:pPr>
            <w:r>
              <w:rPr>
                <w:rFonts w:hint="eastAsia" w:cs="Calibri"/>
                <w:sz w:val="18"/>
                <w:szCs w:val="18"/>
              </w:rPr>
              <w:t>2</w:t>
            </w:r>
          </w:p>
        </w:tc>
        <w:tc>
          <w:tcPr>
            <w:tcW w:w="1385" w:type="dxa"/>
            <w:tcBorders>
              <w:tl2br w:val="nil"/>
              <w:tr2bl w:val="nil"/>
            </w:tcBorders>
          </w:tcPr>
          <w:p>
            <w:pPr>
              <w:jc w:val="center"/>
              <w:rPr>
                <w:rFonts w:cs="Calibri"/>
                <w:sz w:val="18"/>
                <w:szCs w:val="18"/>
              </w:rPr>
            </w:pPr>
            <w:r>
              <w:rPr>
                <w:rFonts w:hint="eastAsia" w:cs="Calibri"/>
                <w:sz w:val="18"/>
                <w:szCs w:val="18"/>
              </w:rPr>
              <w:t>耐跌落性</w:t>
            </w:r>
          </w:p>
        </w:tc>
        <w:tc>
          <w:tcPr>
            <w:tcW w:w="6791" w:type="dxa"/>
            <w:tcBorders>
              <w:tl2br w:val="nil"/>
              <w:tr2bl w:val="nil"/>
            </w:tcBorders>
            <w:vAlign w:val="center"/>
          </w:tcPr>
          <w:p>
            <w:pPr>
              <w:jc w:val="center"/>
              <w:rPr>
                <w:rFonts w:cs="Calibri"/>
                <w:sz w:val="18"/>
                <w:szCs w:val="18"/>
              </w:rPr>
            </w:pPr>
            <w:r>
              <w:rPr>
                <w:rFonts w:hint="eastAsia" w:cs="Calibri"/>
                <w:sz w:val="18"/>
                <w:szCs w:val="18"/>
              </w:rPr>
              <w:t>产品经耐跌落试验后，应无断裂、松脱现象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10" w:type="dxa"/>
            <w:tcBorders>
              <w:tl2br w:val="nil"/>
              <w:tr2bl w:val="nil"/>
            </w:tcBorders>
          </w:tcPr>
          <w:p>
            <w:pPr>
              <w:jc w:val="center"/>
              <w:rPr>
                <w:rFonts w:cs="Calibri"/>
                <w:sz w:val="18"/>
                <w:szCs w:val="18"/>
              </w:rPr>
            </w:pPr>
            <w:r>
              <w:rPr>
                <w:rFonts w:hint="eastAsia" w:cs="Calibri"/>
                <w:sz w:val="18"/>
                <w:szCs w:val="18"/>
              </w:rPr>
              <w:t>3</w:t>
            </w:r>
          </w:p>
        </w:tc>
        <w:tc>
          <w:tcPr>
            <w:tcW w:w="1385" w:type="dxa"/>
            <w:tcBorders>
              <w:tl2br w:val="nil"/>
              <w:tr2bl w:val="nil"/>
            </w:tcBorders>
          </w:tcPr>
          <w:p>
            <w:pPr>
              <w:jc w:val="center"/>
              <w:rPr>
                <w:rFonts w:cs="Calibri"/>
                <w:sz w:val="18"/>
                <w:szCs w:val="18"/>
              </w:rPr>
            </w:pPr>
            <w:r>
              <w:rPr>
                <w:rFonts w:hint="eastAsia" w:cs="Calibri"/>
                <w:sz w:val="18"/>
                <w:szCs w:val="18"/>
              </w:rPr>
              <w:t>使用安全</w:t>
            </w:r>
          </w:p>
        </w:tc>
        <w:tc>
          <w:tcPr>
            <w:tcW w:w="6791" w:type="dxa"/>
            <w:tcBorders>
              <w:tl2br w:val="nil"/>
              <w:tr2bl w:val="nil"/>
            </w:tcBorders>
            <w:vAlign w:val="center"/>
          </w:tcPr>
          <w:p>
            <w:pPr>
              <w:jc w:val="center"/>
              <w:rPr>
                <w:rFonts w:cs="Calibri"/>
                <w:sz w:val="18"/>
                <w:szCs w:val="18"/>
              </w:rPr>
            </w:pPr>
            <w:r>
              <w:rPr>
                <w:rFonts w:hint="eastAsia" w:cs="Calibri"/>
                <w:sz w:val="18"/>
                <w:szCs w:val="18"/>
              </w:rPr>
              <w:t>产品在使用过程中可接触的部位不应有损害人体的锐角、毛刺、坡口等缺陷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10" w:type="dxa"/>
            <w:tcBorders>
              <w:tl2br w:val="nil"/>
              <w:tr2bl w:val="nil"/>
            </w:tcBorders>
          </w:tcPr>
          <w:p>
            <w:pPr>
              <w:jc w:val="center"/>
              <w:rPr>
                <w:rFonts w:cs="Calibri"/>
                <w:sz w:val="18"/>
                <w:szCs w:val="18"/>
              </w:rPr>
            </w:pPr>
            <w:r>
              <w:rPr>
                <w:rFonts w:hint="eastAsia" w:cs="Calibri"/>
                <w:sz w:val="18"/>
                <w:szCs w:val="18"/>
              </w:rPr>
              <w:t>4</w:t>
            </w:r>
          </w:p>
        </w:tc>
        <w:tc>
          <w:tcPr>
            <w:tcW w:w="1385" w:type="dxa"/>
            <w:tcBorders>
              <w:tl2br w:val="nil"/>
              <w:tr2bl w:val="nil"/>
            </w:tcBorders>
          </w:tcPr>
          <w:p>
            <w:pPr>
              <w:jc w:val="center"/>
              <w:rPr>
                <w:rFonts w:cs="Calibri"/>
                <w:sz w:val="18"/>
                <w:szCs w:val="18"/>
              </w:rPr>
            </w:pPr>
            <w:r>
              <w:rPr>
                <w:rFonts w:hint="eastAsia" w:cs="Calibri"/>
                <w:sz w:val="18"/>
                <w:szCs w:val="18"/>
              </w:rPr>
              <w:t>牢固度</w:t>
            </w:r>
          </w:p>
        </w:tc>
        <w:tc>
          <w:tcPr>
            <w:tcW w:w="6791" w:type="dxa"/>
            <w:tcBorders>
              <w:tl2br w:val="nil"/>
              <w:tr2bl w:val="nil"/>
            </w:tcBorders>
            <w:vAlign w:val="center"/>
          </w:tcPr>
          <w:p>
            <w:pPr>
              <w:jc w:val="center"/>
              <w:rPr>
                <w:rFonts w:cs="Calibri"/>
                <w:sz w:val="18"/>
                <w:szCs w:val="18"/>
              </w:rPr>
            </w:pPr>
            <w:r>
              <w:rPr>
                <w:rFonts w:hint="eastAsia" w:cs="Calibri"/>
                <w:sz w:val="18"/>
                <w:szCs w:val="18"/>
              </w:rPr>
              <w:t>产品的扇面和扇柄之间应能承受6N的拉力而不发生移位、明显变形或脱离现象</w:t>
            </w:r>
          </w:p>
        </w:tc>
      </w:tr>
    </w:tbl>
    <w:p>
      <w:pPr>
        <w:pStyle w:val="13"/>
        <w:numPr>
          <w:ilvl w:val="0"/>
          <w:numId w:val="0"/>
        </w:numPr>
        <w:spacing w:before="312" w:after="312"/>
        <w:jc w:val="left"/>
        <w:rPr>
          <w:rFonts w:hAnsi="黑体"/>
          <w:sz w:val="24"/>
          <w:szCs w:val="24"/>
        </w:rPr>
      </w:pPr>
      <w:r>
        <w:rPr>
          <w:rFonts w:hint="eastAsia" w:hAnsi="黑体"/>
          <w:sz w:val="24"/>
          <w:szCs w:val="24"/>
        </w:rPr>
        <w:t>4.3.3 试验方法</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标准规定的技术要求，都规定了相应的试验方法，所有的试验方法均按国家或行业标准的方法实施。</w:t>
      </w:r>
    </w:p>
    <w:p>
      <w:pPr>
        <w:pStyle w:val="13"/>
        <w:numPr>
          <w:ilvl w:val="0"/>
          <w:numId w:val="0"/>
        </w:numPr>
        <w:spacing w:before="312" w:after="312"/>
        <w:jc w:val="left"/>
        <w:rPr>
          <w:rFonts w:hAnsi="黑体"/>
          <w:sz w:val="24"/>
          <w:szCs w:val="24"/>
        </w:rPr>
      </w:pPr>
      <w:r>
        <w:rPr>
          <w:rFonts w:hint="eastAsia" w:hAnsi="黑体"/>
          <w:sz w:val="24"/>
          <w:szCs w:val="24"/>
        </w:rPr>
        <w:t>4.3.3.1 外观性能试验方法</w:t>
      </w:r>
    </w:p>
    <w:p>
      <w:pPr>
        <w:pStyle w:val="15"/>
        <w:spacing w:before="156" w:after="156"/>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采用目测、戴光滑薄质乳胶手套及精确度为±0.5mm的钢直尺测量检验。</w:t>
      </w:r>
    </w:p>
    <w:p>
      <w:pPr>
        <w:pStyle w:val="13"/>
        <w:numPr>
          <w:ilvl w:val="0"/>
          <w:numId w:val="0"/>
        </w:numPr>
        <w:spacing w:before="312" w:after="312"/>
        <w:jc w:val="left"/>
        <w:rPr>
          <w:rFonts w:hAnsi="黑体"/>
          <w:sz w:val="24"/>
          <w:szCs w:val="24"/>
        </w:rPr>
      </w:pPr>
      <w:r>
        <w:rPr>
          <w:rFonts w:hint="eastAsia" w:hAnsi="黑体"/>
          <w:sz w:val="24"/>
          <w:szCs w:val="24"/>
        </w:rPr>
        <w:t>4.3.3.2 理化试验方法</w:t>
      </w:r>
    </w:p>
    <w:p>
      <w:pPr>
        <w:pStyle w:val="14"/>
        <w:spacing w:line="360" w:lineRule="auto"/>
        <w:ind w:firstLine="480"/>
        <w:rPr>
          <w:rFonts w:ascii="仿宋" w:hAnsi="仿宋" w:eastAsia="仿宋" w:cs="仿宋"/>
          <w:kern w:val="2"/>
          <w:sz w:val="24"/>
          <w:szCs w:val="24"/>
        </w:rPr>
      </w:pPr>
      <w:r>
        <w:rPr>
          <w:rFonts w:hint="eastAsia" w:ascii="仿宋" w:hAnsi="仿宋" w:eastAsia="仿宋" w:cs="仿宋"/>
          <w:kern w:val="2"/>
          <w:sz w:val="24"/>
          <w:szCs w:val="24"/>
        </w:rPr>
        <w:t>1）出厂含水率：按GB/T 1927.4的规定进行测试。</w:t>
      </w:r>
    </w:p>
    <w:p>
      <w:pPr>
        <w:pStyle w:val="14"/>
        <w:spacing w:line="360" w:lineRule="auto"/>
        <w:ind w:firstLine="480"/>
        <w:rPr>
          <w:rFonts w:ascii="仿宋" w:hAnsi="仿宋" w:eastAsia="仿宋" w:cs="仿宋"/>
          <w:kern w:val="2"/>
          <w:sz w:val="24"/>
          <w:szCs w:val="24"/>
        </w:rPr>
      </w:pPr>
      <w:r>
        <w:rPr>
          <w:rFonts w:hint="eastAsia" w:ascii="仿宋" w:hAnsi="仿宋" w:eastAsia="仿宋" w:cs="仿宋"/>
          <w:kern w:val="2"/>
          <w:sz w:val="24"/>
          <w:szCs w:val="24"/>
        </w:rPr>
        <w:t>2）产品中有害元素限量按GB 28480—2012的相关规定进行测试。</w:t>
      </w:r>
    </w:p>
    <w:p>
      <w:pPr>
        <w:pStyle w:val="14"/>
        <w:spacing w:line="360" w:lineRule="auto"/>
        <w:ind w:firstLine="480"/>
        <w:rPr>
          <w:rFonts w:ascii="仿宋" w:hAnsi="仿宋" w:eastAsia="仿宋" w:cs="仿宋"/>
          <w:kern w:val="2"/>
          <w:sz w:val="24"/>
          <w:szCs w:val="24"/>
        </w:rPr>
      </w:pPr>
      <w:r>
        <w:rPr>
          <w:rFonts w:hint="eastAsia" w:ascii="仿宋" w:hAnsi="仿宋" w:eastAsia="仿宋" w:cs="仿宋"/>
          <w:kern w:val="2"/>
          <w:sz w:val="24"/>
          <w:szCs w:val="24"/>
        </w:rPr>
        <w:t>3）扇面游离甲醛限量按照 GB/T 2912.1的相关规定进行测试。</w:t>
      </w:r>
    </w:p>
    <w:p>
      <w:pPr>
        <w:pStyle w:val="13"/>
        <w:numPr>
          <w:ilvl w:val="0"/>
          <w:numId w:val="0"/>
        </w:numPr>
        <w:spacing w:before="312" w:after="312"/>
        <w:jc w:val="left"/>
        <w:rPr>
          <w:rFonts w:hAnsi="黑体"/>
          <w:sz w:val="24"/>
          <w:szCs w:val="24"/>
        </w:rPr>
      </w:pPr>
      <w:r>
        <w:rPr>
          <w:rFonts w:hint="eastAsia" w:hAnsi="黑体"/>
          <w:sz w:val="24"/>
          <w:szCs w:val="24"/>
        </w:rPr>
        <w:t>4.3.3.3 耐久性试验方法</w:t>
      </w:r>
    </w:p>
    <w:p>
      <w:pPr>
        <w:pStyle w:val="14"/>
        <w:spacing w:line="360" w:lineRule="auto"/>
        <w:ind w:firstLine="480"/>
        <w:rPr>
          <w:rFonts w:ascii="仿宋_GB2312" w:hAnsi="宋体" w:eastAsia="仿宋_GB2312"/>
          <w:kern w:val="2"/>
          <w:sz w:val="24"/>
          <w:szCs w:val="24"/>
        </w:rPr>
      </w:pPr>
      <w:r>
        <w:rPr>
          <w:rFonts w:hint="eastAsia" w:ascii="仿宋_GB2312" w:hAnsi="宋体" w:eastAsia="仿宋_GB2312"/>
          <w:kern w:val="2"/>
          <w:sz w:val="24"/>
          <w:szCs w:val="24"/>
        </w:rPr>
        <w:t>1）使用寿命：在室内手工或机器模拟进行扇风实验，施加6N测试力，频率为30次/分钟，检测是否有扇面破裂、扇面与扇框脱离等现象。</w:t>
      </w:r>
    </w:p>
    <w:p>
      <w:pPr>
        <w:pStyle w:val="14"/>
        <w:spacing w:line="360" w:lineRule="auto"/>
        <w:ind w:firstLine="480"/>
        <w:rPr>
          <w:rFonts w:ascii="仿宋_GB2312" w:hAnsi="宋体" w:eastAsia="仿宋_GB2312"/>
          <w:kern w:val="2"/>
          <w:sz w:val="24"/>
          <w:szCs w:val="24"/>
        </w:rPr>
      </w:pPr>
      <w:r>
        <w:rPr>
          <w:rFonts w:hint="eastAsia" w:ascii="仿宋_GB2312" w:hAnsi="宋体" w:eastAsia="仿宋_GB2312"/>
          <w:kern w:val="2"/>
          <w:sz w:val="24"/>
          <w:szCs w:val="24"/>
        </w:rPr>
        <w:t>2）耐跌落性：将产品从距离地面120cm高处，以任意方向自由跌落至木地板面连续三次，观察产品应无断裂、松脱现象。</w:t>
      </w:r>
    </w:p>
    <w:p>
      <w:pPr>
        <w:pStyle w:val="14"/>
        <w:spacing w:line="360" w:lineRule="auto"/>
        <w:ind w:firstLine="480"/>
        <w:rPr>
          <w:rFonts w:ascii="仿宋_GB2312" w:hAnsi="宋体" w:eastAsia="仿宋_GB2312"/>
          <w:kern w:val="2"/>
          <w:sz w:val="24"/>
          <w:szCs w:val="24"/>
        </w:rPr>
      </w:pPr>
      <w:r>
        <w:rPr>
          <w:rFonts w:hint="eastAsia" w:ascii="仿宋_GB2312" w:hAnsi="宋体" w:eastAsia="仿宋_GB2312"/>
          <w:kern w:val="2"/>
          <w:sz w:val="24"/>
          <w:szCs w:val="24"/>
        </w:rPr>
        <w:t>3）使用安全：以目视及戴光滑薄质乳胶手套法检测。</w:t>
      </w:r>
    </w:p>
    <w:p>
      <w:pPr>
        <w:pStyle w:val="14"/>
        <w:spacing w:line="360" w:lineRule="auto"/>
        <w:ind w:firstLine="480"/>
        <w:rPr>
          <w:rFonts w:ascii="仿宋_GB2312" w:hAnsi="宋体" w:eastAsia="仿宋_GB2312"/>
          <w:kern w:val="2"/>
          <w:sz w:val="24"/>
          <w:szCs w:val="24"/>
        </w:rPr>
      </w:pPr>
      <w:r>
        <w:rPr>
          <w:rFonts w:hint="eastAsia" w:ascii="仿宋_GB2312" w:hAnsi="宋体" w:eastAsia="仿宋_GB2312"/>
          <w:kern w:val="2"/>
          <w:sz w:val="24"/>
          <w:szCs w:val="24"/>
        </w:rPr>
        <w:t>4）牢固度：固定产品的扇面，以6N的拉力平行拉伸扇柄，持续15s后观察产品外观。</w:t>
      </w:r>
    </w:p>
    <w:p>
      <w:pPr>
        <w:spacing w:line="500" w:lineRule="exact"/>
        <w:rPr>
          <w:rFonts w:ascii="黑体" w:hAnsi="黑体" w:eastAsia="黑体" w:cs="黑体"/>
          <w:sz w:val="24"/>
        </w:rPr>
      </w:pPr>
      <w:r>
        <w:rPr>
          <w:rFonts w:hint="eastAsia" w:ascii="黑体" w:hAnsi="黑体" w:eastAsia="黑体" w:cs="黑体"/>
          <w:sz w:val="24"/>
        </w:rPr>
        <w:t>4.3.4  检验规则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标准规定了检验分类(出厂检验和型式检验）以及判定规则。</w:t>
      </w:r>
    </w:p>
    <w:p>
      <w:pPr>
        <w:spacing w:line="500" w:lineRule="exact"/>
        <w:rPr>
          <w:rFonts w:ascii="黑体" w:hAnsi="黑体" w:eastAsia="黑体" w:cs="黑体"/>
          <w:sz w:val="24"/>
        </w:rPr>
      </w:pPr>
      <w:r>
        <w:rPr>
          <w:rFonts w:hint="eastAsia" w:ascii="黑体" w:hAnsi="黑体" w:eastAsia="黑体" w:cs="黑体"/>
          <w:sz w:val="24"/>
        </w:rPr>
        <w:t>4.3.5  标志、包装、运输及贮存</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1）标志</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小包装标志包括：厂名、厂址、商标、产品标准号。</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大包装外标志：产品名称、货号、制造厂名、出厂日期、商标、数量。包装图示按照GB/T 191 执行。</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2）包装  团扇每把PP 袋一只，加白卡纸衬，个性定制的团扇也可根据客户要求每扇一织锦盒，装入硬纸箱盒，外加封条，用打包带交叉打包。</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3）运输  运输过程中严防潮湿雨淋，装卸小心轻放防止重压和机械撞击。</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4）贮存</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贮存库房应干燥通风、严防潮湿高温。空气中应无腐蚀性气体存在。</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货发后应在三个月内开箱通风。</w:t>
      </w:r>
    </w:p>
    <w:p>
      <w:pPr>
        <w:spacing w:line="500" w:lineRule="exact"/>
        <w:rPr>
          <w:rFonts w:ascii="黑体" w:hAnsi="黑体" w:eastAsia="黑体" w:cs="黑体"/>
          <w:sz w:val="24"/>
        </w:rPr>
      </w:pPr>
      <w:r>
        <w:rPr>
          <w:rFonts w:hint="eastAsia" w:ascii="黑体" w:hAnsi="黑体" w:eastAsia="黑体" w:cs="黑体"/>
          <w:sz w:val="24"/>
        </w:rPr>
        <w:t>4.3.7  质量承诺</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1）产品在正常使用情况下出现开裂、脱胶、变形质量问题，生产企业1个月内免费更换，1年内免费维修。</w:t>
      </w:r>
    </w:p>
    <w:p>
      <w:pPr>
        <w:pStyle w:val="15"/>
        <w:numPr>
          <w:ilvl w:val="1"/>
          <w:numId w:val="0"/>
        </w:numPr>
        <w:tabs>
          <w:tab w:val="left" w:pos="284"/>
          <w:tab w:val="left" w:pos="567"/>
          <w:tab w:val="clear" w:pos="0"/>
        </w:tabs>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2）因使用不当造成的产品破损，生产单位提供有偿维修服务。</w:t>
      </w:r>
    </w:p>
    <w:p>
      <w:pPr>
        <w:pStyle w:val="15"/>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kern w:val="2"/>
          <w:sz w:val="24"/>
          <w:szCs w:val="24"/>
          <w:lang w:val="de-DE"/>
        </w:rPr>
      </w:pPr>
      <w:r>
        <w:rPr>
          <w:rFonts w:hint="eastAsia" w:ascii="仿宋_GB2312" w:hAnsi="宋体" w:eastAsia="仿宋_GB2312"/>
          <w:kern w:val="2"/>
          <w:sz w:val="24"/>
          <w:szCs w:val="24"/>
        </w:rPr>
        <w:t>3）客户有诉求时，生产企业应在12h内做出答复。</w:t>
      </w:r>
    </w:p>
    <w:p>
      <w:pPr>
        <w:pStyle w:val="13"/>
        <w:numPr>
          <w:ilvl w:val="0"/>
          <w:numId w:val="0"/>
        </w:numPr>
        <w:spacing w:before="312" w:after="312"/>
        <w:jc w:val="left"/>
        <w:rPr>
          <w:rFonts w:hAnsi="黑体"/>
          <w:sz w:val="24"/>
          <w:szCs w:val="24"/>
        </w:rPr>
      </w:pPr>
      <w:r>
        <w:rPr>
          <w:rFonts w:hint="eastAsia" w:hAnsi="黑体"/>
          <w:sz w:val="24"/>
          <w:szCs w:val="24"/>
        </w:rPr>
        <w:t>5  标准先进性体现</w:t>
      </w:r>
    </w:p>
    <w:p>
      <w:pPr>
        <w:rPr>
          <w:rFonts w:hint="eastAsia" w:ascii="宋体" w:hAnsi="宋体" w:cs="宋体"/>
          <w:b/>
          <w:bCs/>
          <w:color w:val="auto"/>
          <w:kern w:val="0"/>
          <w:sz w:val="24"/>
        </w:rPr>
      </w:pPr>
      <w:r>
        <w:rPr>
          <w:rFonts w:hint="eastAsia" w:ascii="宋体" w:hAnsi="宋体" w:cs="宋体"/>
          <w:b/>
          <w:bCs/>
          <w:color w:val="auto"/>
          <w:kern w:val="0"/>
          <w:sz w:val="24"/>
        </w:rPr>
        <w:t>5.1  《团扇》指标对比分析情况</w:t>
      </w:r>
    </w:p>
    <w:p>
      <w:pPr>
        <w:tabs>
          <w:tab w:val="left" w:pos="2160"/>
        </w:tabs>
        <w:spacing w:line="360" w:lineRule="auto"/>
        <w:ind w:firstLine="480" w:firstLineChars="200"/>
        <w:rPr>
          <w:rFonts w:hint="eastAsia" w:ascii="宋体" w:hAnsi="宋体" w:cs="宋体"/>
          <w:color w:val="FF0000"/>
          <w:spacing w:val="8"/>
          <w:sz w:val="24"/>
        </w:rPr>
      </w:pPr>
      <w:r>
        <w:rPr>
          <w:rFonts w:hint="eastAsia" w:ascii="仿宋_GB2312" w:hAnsi="宋体" w:eastAsia="仿宋_GB2312" w:cs="宋体"/>
          <w:sz w:val="24"/>
          <w:lang w:val="en-US" w:eastAsia="zh-CN"/>
        </w:rPr>
        <w:t>扇子</w:t>
      </w:r>
      <w:r>
        <w:rPr>
          <w:rFonts w:hint="eastAsia" w:ascii="仿宋_GB2312" w:hAnsi="宋体" w:eastAsia="仿宋_GB2312" w:cs="宋体"/>
          <w:sz w:val="24"/>
        </w:rPr>
        <w:t>进入新世纪以来，作为传统的手工业生产方式的扇子制作业</w:t>
      </w:r>
      <w:r>
        <w:rPr>
          <w:rFonts w:hint="eastAsia" w:ascii="仿宋_GB2312" w:hAnsi="宋体" w:eastAsia="仿宋_GB2312" w:cs="宋体"/>
          <w:sz w:val="24"/>
          <w:lang w:eastAsia="zh-CN"/>
        </w:rPr>
        <w:t>，</w:t>
      </w:r>
      <w:r>
        <w:rPr>
          <w:rFonts w:hint="eastAsia" w:ascii="仿宋_GB2312" w:hAnsi="宋体" w:eastAsia="仿宋_GB2312" w:cs="宋体"/>
          <w:sz w:val="24"/>
          <w:lang w:val="en-US" w:eastAsia="zh-CN"/>
        </w:rPr>
        <w:t>其独特的工艺技术，要实现工业化加工比较困难，但扇子目前作为工艺品、艺术品被广大用户所接受，为传承其工艺技术，</w:t>
      </w:r>
      <w:r>
        <w:rPr>
          <w:rFonts w:hint="eastAsia" w:ascii="仿宋_GB2312" w:hAnsi="宋体" w:eastAsia="仿宋_GB2312" w:cs="宋体"/>
          <w:sz w:val="24"/>
        </w:rPr>
        <w:t>保留了中国制扇传统技艺（手工制扇非遗传承人），</w:t>
      </w:r>
      <w:r>
        <w:rPr>
          <w:rFonts w:hint="eastAsia" w:ascii="仿宋_GB2312" w:hAnsi="宋体" w:eastAsia="仿宋_GB2312" w:cs="宋体"/>
          <w:sz w:val="24"/>
          <w:lang w:val="en-US" w:eastAsia="zh-CN"/>
        </w:rPr>
        <w:t>具有重要的意义，</w:t>
      </w:r>
      <w:r>
        <w:rPr>
          <w:rFonts w:hint="eastAsia" w:ascii="仿宋_GB2312" w:hAnsi="宋体" w:eastAsia="仿宋_GB2312" w:cs="宋体"/>
          <w:sz w:val="24"/>
        </w:rPr>
        <w:t>也可以是年轻人喜欢的手工作品，让非遗在时尚中得到传承。</w:t>
      </w:r>
    </w:p>
    <w:p>
      <w:pPr>
        <w:tabs>
          <w:tab w:val="left" w:pos="2160"/>
        </w:tabs>
        <w:spacing w:line="360" w:lineRule="auto"/>
        <w:ind w:firstLine="480" w:firstLineChars="200"/>
        <w:rPr>
          <w:rFonts w:hint="eastAsia" w:ascii="宋体" w:hAnsi="宋体" w:eastAsia="宋体" w:cs="宋体"/>
          <w:color w:val="000000"/>
          <w:sz w:val="24"/>
        </w:rPr>
      </w:pPr>
      <w:r>
        <w:rPr>
          <w:rFonts w:hint="eastAsia" w:ascii="仿宋_GB2312" w:hAnsi="宋体" w:eastAsia="仿宋_GB2312" w:cs="宋体"/>
          <w:sz w:val="24"/>
          <w:lang w:val="en-US" w:eastAsia="zh-CN"/>
        </w:rPr>
        <w:t>以安吉六合工艺品有限公司为主要起草单位研制的《团扇》标准的技术要求有外观、尺寸偏差、使用寿命、耐跌落性、出厂含水率、有害物质限量、使用安全、牢固度八大方面指标要求。同时参考对标T/ZZB 2607—2021《黑纸扇》标准，结合我司多年生产的实践经验与国内外客户（尤其是高端客户）的个性化定制要求，制定符合产业链发展，和高端客户的需求的特性指标。从系统出发，在</w:t>
      </w:r>
      <w:r>
        <w:rPr>
          <w:rFonts w:hint="eastAsia" w:ascii="仿宋_GB2312" w:hAnsi="宋体" w:eastAsia="仿宋_GB2312" w:cs="宋体"/>
          <w:b/>
          <w:bCs/>
          <w:sz w:val="24"/>
          <w:lang w:val="en-US" w:eastAsia="zh-CN"/>
        </w:rPr>
        <w:t>外观质量、尺寸偏差、有害物质元素、牢固度、使用安全</w:t>
      </w:r>
      <w:r>
        <w:rPr>
          <w:rFonts w:hint="eastAsia" w:ascii="仿宋_GB2312" w:hAnsi="宋体" w:eastAsia="仿宋_GB2312" w:cs="宋体"/>
          <w:sz w:val="24"/>
          <w:lang w:val="en-US" w:eastAsia="zh-CN"/>
        </w:rPr>
        <w:t>等指标上进行提升，同时从</w:t>
      </w:r>
      <w:r>
        <w:rPr>
          <w:rFonts w:hint="eastAsia" w:ascii="仿宋_GB2312" w:hAnsi="宋体" w:eastAsia="仿宋_GB2312" w:cs="宋体"/>
          <w:b/>
          <w:bCs/>
          <w:sz w:val="24"/>
          <w:lang w:val="en-US" w:eastAsia="zh-CN"/>
        </w:rPr>
        <w:t>设计（个性化定制）、原材料控制、手工艺人的培养及传承、质量承诺</w:t>
      </w:r>
      <w:r>
        <w:rPr>
          <w:rFonts w:hint="eastAsia" w:ascii="仿宋_GB2312" w:hAnsi="宋体" w:eastAsia="仿宋_GB2312" w:cs="宋体"/>
          <w:sz w:val="24"/>
          <w:lang w:val="en-US" w:eastAsia="zh-CN"/>
        </w:rPr>
        <w:t>等方面充分体系团扇的之是优势，（见附表3</w:t>
      </w:r>
      <w:r>
        <w:rPr>
          <w:rFonts w:hint="eastAsia" w:ascii="宋体" w:hAnsi="宋体" w:eastAsia="宋体" w:cs="宋体"/>
          <w:b/>
          <w:bCs/>
          <w:color w:val="000000"/>
          <w:sz w:val="24"/>
        </w:rPr>
        <w:t>）</w:t>
      </w:r>
      <w:r>
        <w:rPr>
          <w:rFonts w:hint="eastAsia" w:ascii="宋体" w:hAnsi="宋体" w:eastAsia="宋体" w:cs="宋体"/>
          <w:color w:val="000000"/>
          <w:sz w:val="24"/>
        </w:rPr>
        <w:t>，体现了本产品的先进性，也符合“浙江制造”标准</w:t>
      </w:r>
      <w:r>
        <w:rPr>
          <w:rFonts w:hint="eastAsia" w:ascii="宋体" w:hAnsi="宋体" w:eastAsia="宋体" w:cs="宋体"/>
          <w:b/>
          <w:bCs/>
          <w:color w:val="000000"/>
          <w:sz w:val="24"/>
        </w:rPr>
        <w:t>“对标国际”的研制理念</w:t>
      </w:r>
      <w:r>
        <w:rPr>
          <w:rFonts w:hint="eastAsia" w:ascii="宋体" w:hAnsi="宋体" w:eastAsia="宋体" w:cs="宋体"/>
          <w:color w:val="000000"/>
          <w:sz w:val="24"/>
        </w:rPr>
        <w:t>和</w:t>
      </w:r>
      <w:r>
        <w:rPr>
          <w:rFonts w:hint="eastAsia" w:ascii="宋体" w:hAnsi="宋体" w:eastAsia="宋体" w:cs="宋体"/>
          <w:b/>
          <w:bCs/>
          <w:color w:val="000000"/>
          <w:sz w:val="24"/>
        </w:rPr>
        <w:t>“国内一流，国际先进”的定位要求</w:t>
      </w:r>
      <w:r>
        <w:rPr>
          <w:rFonts w:hint="eastAsia" w:ascii="宋体" w:hAnsi="宋体" w:eastAsia="宋体" w:cs="宋体"/>
          <w:color w:val="000000"/>
          <w:sz w:val="24"/>
        </w:rPr>
        <w:t>。</w:t>
      </w:r>
    </w:p>
    <w:p>
      <w:pPr>
        <w:pStyle w:val="37"/>
        <w:tabs>
          <w:tab w:val="clear" w:pos="360"/>
        </w:tabs>
        <w:rPr>
          <w:bCs/>
          <w:szCs w:val="21"/>
        </w:rPr>
        <w:sectPr>
          <w:footerReference r:id="rId3" w:type="default"/>
          <w:pgSz w:w="11906" w:h="16838"/>
          <w:pgMar w:top="1440" w:right="1800" w:bottom="1440" w:left="1800" w:header="851" w:footer="992" w:gutter="0"/>
          <w:cols w:space="425" w:num="1"/>
          <w:docGrid w:type="lines" w:linePitch="312" w:charSpace="0"/>
        </w:sectPr>
      </w:pPr>
    </w:p>
    <w:p>
      <w:pPr>
        <w:pStyle w:val="37"/>
        <w:tabs>
          <w:tab w:val="clear" w:pos="360"/>
        </w:tabs>
        <w:rPr>
          <w:bCs/>
          <w:szCs w:val="21"/>
        </w:rPr>
      </w:pPr>
      <w:r>
        <w:rPr>
          <w:rFonts w:hint="eastAsia"/>
          <w:bCs/>
          <w:szCs w:val="21"/>
          <w:lang w:val="en-US" w:eastAsia="zh-CN"/>
        </w:rPr>
        <w:t>浙江制造标准与同类标准对比</w:t>
      </w:r>
    </w:p>
    <w:tbl>
      <w:tblPr>
        <w:tblStyle w:val="9"/>
        <w:tblW w:w="13170"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9"/>
        <w:gridCol w:w="873"/>
        <w:gridCol w:w="1069"/>
        <w:gridCol w:w="5924"/>
        <w:gridCol w:w="2957"/>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751" w:type="dxa"/>
            <w:gridSpan w:val="3"/>
            <w:tcBorders>
              <w:top w:val="single" w:color="auto" w:sz="12" w:space="0"/>
              <w:left w:val="single" w:color="auto" w:sz="12" w:space="0"/>
              <w:bottom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项目</w:t>
            </w:r>
          </w:p>
        </w:tc>
        <w:tc>
          <w:tcPr>
            <w:tcW w:w="5924" w:type="dxa"/>
            <w:tcBorders>
              <w:top w:val="single" w:color="auto" w:sz="12" w:space="0"/>
              <w:bottom w:val="single" w:color="auto" w:sz="12" w:space="0"/>
              <w:right w:val="single" w:color="auto" w:sz="12" w:space="0"/>
            </w:tcBorders>
          </w:tcPr>
          <w:p>
            <w:pPr>
              <w:pStyle w:val="22"/>
              <w:spacing w:before="0"/>
              <w:rPr>
                <w:rFonts w:hint="default" w:ascii="Times New Roman" w:hAnsi="Times New Roman" w:eastAsia="宋体" w:cs="Times New Roman"/>
                <w:sz w:val="18"/>
                <w:szCs w:val="18"/>
                <w:lang w:val="en-US" w:eastAsia="zh-CN" w:bidi="ar-SA"/>
              </w:rPr>
            </w:pPr>
            <w:r>
              <w:rPr>
                <w:rFonts w:hint="eastAsia" w:ascii="Times New Roman" w:hAnsi="Times New Roman" w:cs="Times New Roman"/>
                <w:sz w:val="18"/>
                <w:szCs w:val="18"/>
                <w:lang w:val="en-US" w:eastAsia="zh-CN" w:bidi="ar-SA"/>
              </w:rPr>
              <w:t>本标准</w:t>
            </w:r>
          </w:p>
        </w:tc>
        <w:tc>
          <w:tcPr>
            <w:tcW w:w="2957" w:type="dxa"/>
            <w:tcBorders>
              <w:top w:val="single" w:color="auto" w:sz="12" w:space="0"/>
              <w:bottom w:val="single" w:color="auto" w:sz="12" w:space="0"/>
              <w:right w:val="single" w:color="auto" w:sz="12" w:space="0"/>
            </w:tcBorders>
          </w:tcPr>
          <w:p>
            <w:pPr>
              <w:pStyle w:val="22"/>
              <w:spacing w:before="0"/>
              <w:rPr>
                <w:rFonts w:hint="eastAsia" w:ascii="Times New Roman" w:hAnsi="Times New Roman" w:cs="Times New Roman"/>
                <w:sz w:val="18"/>
                <w:szCs w:val="18"/>
                <w:lang w:val="en-US" w:eastAsia="zh-CN" w:bidi="ar-SA"/>
              </w:rPr>
            </w:pPr>
            <w:r>
              <w:rPr>
                <w:rFonts w:hint="eastAsia" w:ascii="等线" w:hAnsi="等线" w:eastAsia="等线" w:cs="等线"/>
                <w:i w:val="0"/>
                <w:iCs w:val="0"/>
                <w:color w:val="000000"/>
                <w:kern w:val="0"/>
                <w:sz w:val="18"/>
                <w:szCs w:val="18"/>
                <w:u w:val="none"/>
                <w:lang w:val="en-US" w:eastAsia="zh-CN" w:bidi="ar"/>
              </w:rPr>
              <w:t>黑纸扇T/ZZB 2607-2021</w:t>
            </w:r>
          </w:p>
        </w:tc>
        <w:tc>
          <w:tcPr>
            <w:tcW w:w="1538" w:type="dxa"/>
            <w:tcBorders>
              <w:top w:val="single" w:color="auto" w:sz="12" w:space="0"/>
              <w:bottom w:val="single" w:color="auto" w:sz="12" w:space="0"/>
              <w:right w:val="single" w:color="auto" w:sz="12" w:space="0"/>
            </w:tcBorders>
          </w:tcPr>
          <w:p>
            <w:pPr>
              <w:pStyle w:val="22"/>
              <w:spacing w:before="0"/>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对比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09" w:type="dxa"/>
            <w:vMerge w:val="restart"/>
            <w:tcBorders>
              <w:top w:val="single" w:color="auto" w:sz="12" w:space="0"/>
              <w:left w:val="single" w:color="auto" w:sz="12" w:space="0"/>
              <w:right w:val="single" w:color="auto" w:sz="8" w:space="0"/>
            </w:tcBorders>
            <w:vAlign w:val="center"/>
          </w:tcPr>
          <w:p>
            <w:pPr>
              <w:pStyle w:val="22"/>
              <w:spacing w:before="0"/>
              <w:rPr>
                <w:rFonts w:hint="default" w:ascii="Times New Roman" w:hAnsi="Times New Roman" w:cs="Times New Roman"/>
                <w:sz w:val="18"/>
                <w:szCs w:val="18"/>
                <w:lang w:val="en-US" w:eastAsia="zh-CN" w:bidi="ar-SA"/>
              </w:rPr>
            </w:pPr>
            <w:r>
              <w:rPr>
                <w:rFonts w:hint="eastAsia" w:ascii="Times New Roman" w:hAnsi="Times New Roman" w:cs="Times New Roman"/>
                <w:sz w:val="18"/>
                <w:szCs w:val="18"/>
                <w:lang w:val="en-US" w:eastAsia="zh-CN" w:bidi="ar-SA"/>
              </w:rPr>
              <w:t>外观</w:t>
            </w:r>
          </w:p>
        </w:tc>
        <w:tc>
          <w:tcPr>
            <w:tcW w:w="873" w:type="dxa"/>
            <w:vMerge w:val="restart"/>
            <w:tcBorders>
              <w:top w:val="single" w:color="auto" w:sz="12" w:space="0"/>
              <w:left w:val="single" w:color="auto" w:sz="12" w:space="0"/>
              <w:right w:val="single" w:color="auto" w:sz="8" w:space="0"/>
            </w:tcBorders>
            <w:vAlign w:val="center"/>
          </w:tcPr>
          <w:p>
            <w:pPr>
              <w:pStyle w:val="22"/>
              <w:spacing w:before="0"/>
              <w:rPr>
                <w:rFonts w:hint="eastAsia" w:ascii="Times New Roman" w:hAnsi="Times New Roman" w:eastAsia="宋体" w:cs="Times New Roman"/>
                <w:sz w:val="18"/>
                <w:szCs w:val="18"/>
                <w:lang w:val="en-US" w:eastAsia="zh-CN" w:bidi="ar-SA"/>
              </w:rPr>
            </w:pPr>
            <w:r>
              <w:rPr>
                <w:rFonts w:hint="eastAsia" w:ascii="Times New Roman" w:hAnsi="Times New Roman" w:cs="Times New Roman"/>
                <w:sz w:val="18"/>
                <w:szCs w:val="18"/>
                <w:lang w:val="en-US" w:eastAsia="zh-CN" w:bidi="ar-SA"/>
              </w:rPr>
              <w:t>扇面</w:t>
            </w:r>
          </w:p>
        </w:tc>
        <w:tc>
          <w:tcPr>
            <w:tcW w:w="1069" w:type="dxa"/>
            <w:tcBorders>
              <w:top w:val="single" w:color="auto" w:sz="12" w:space="0"/>
              <w:left w:val="single" w:color="auto" w:sz="8" w:space="0"/>
              <w:bottom w:val="single" w:color="auto" w:sz="4" w:space="0"/>
            </w:tcBorders>
            <w:vAlign w:val="center"/>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图案</w:t>
            </w:r>
          </w:p>
        </w:tc>
        <w:tc>
          <w:tcPr>
            <w:tcW w:w="5924" w:type="dxa"/>
            <w:tcBorders>
              <w:top w:val="single" w:color="auto" w:sz="12" w:space="0"/>
              <w:bottom w:val="single" w:color="auto" w:sz="4" w:space="0"/>
              <w:right w:val="single" w:color="auto" w:sz="12" w:space="0"/>
            </w:tcBorders>
          </w:tcPr>
          <w:p>
            <w:pPr>
              <w:pStyle w:val="22"/>
              <w:spacing w:before="0"/>
              <w:jc w:val="left"/>
              <w:rPr>
                <w:rFonts w:ascii="Times New Roman" w:hAnsi="Times New Roman" w:cs="Times New Roman"/>
                <w:sz w:val="18"/>
                <w:szCs w:val="18"/>
                <w:lang w:val="en-US" w:bidi="ar-SA"/>
              </w:rPr>
            </w:pPr>
            <w:r>
              <w:rPr>
                <w:rFonts w:ascii="Times New Roman" w:hAnsi="Times New Roman" w:cs="Times New Roman"/>
                <w:sz w:val="18"/>
                <w:szCs w:val="18"/>
                <w:lang w:val="en-US" w:bidi="ar-SA"/>
              </w:rPr>
              <w:t>绣花，电脑喷印、热升华转印，丝网印花，烫金和手工字画应与样稿基本一致，图案文字印刷清晰、完整，印面部位不应存在明显的划伤、错位和划痕</w:t>
            </w:r>
          </w:p>
        </w:tc>
        <w:tc>
          <w:tcPr>
            <w:tcW w:w="2957" w:type="dxa"/>
            <w:vMerge w:val="restart"/>
            <w:tcBorders>
              <w:top w:val="single" w:color="auto" w:sz="12" w:space="0"/>
              <w:right w:val="single" w:color="auto" w:sz="12" w:space="0"/>
            </w:tcBorders>
            <w:vAlign w:val="center"/>
          </w:tcPr>
          <w:p>
            <w:pPr>
              <w:keepNext w:val="0"/>
              <w:keepLines w:val="0"/>
              <w:widowControl/>
              <w:suppressLineNumbers w:val="0"/>
              <w:jc w:val="left"/>
              <w:textAlignment w:val="center"/>
              <w:rPr>
                <w:rFonts w:ascii="等线" w:hAnsi="等线" w:eastAsia="等线" w:cs="等线"/>
                <w:i w:val="0"/>
                <w:iCs w:val="0"/>
                <w:color w:val="000000"/>
                <w:kern w:val="2"/>
                <w:sz w:val="24"/>
                <w:szCs w:val="24"/>
                <w:u w:val="none"/>
                <w:lang w:val="en-US" w:eastAsia="zh-CN" w:bidi="ar-SA"/>
              </w:rPr>
            </w:pPr>
            <w:r>
              <w:rPr>
                <w:rFonts w:hint="eastAsia" w:ascii="Times New Roman" w:hAnsi="Times New Roman" w:eastAsia="宋体" w:cs="Times New Roman"/>
                <w:kern w:val="2"/>
                <w:sz w:val="18"/>
                <w:szCs w:val="18"/>
                <w:lang w:val="en-US" w:eastAsia="zh-CN" w:bidi="ar-SA"/>
              </w:rPr>
              <w:t>图案清晰、不褪色；布料无明显污迹、跳线、断线等缺陷；绷面松紧适度、平整、无脱胶现象</w:t>
            </w:r>
          </w:p>
        </w:tc>
        <w:tc>
          <w:tcPr>
            <w:tcW w:w="1538" w:type="dxa"/>
            <w:vMerge w:val="restart"/>
            <w:tcBorders>
              <w:top w:val="single" w:color="auto" w:sz="12" w:space="0"/>
              <w:right w:val="single" w:color="auto" w:sz="12"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09"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lang w:val="en-US" w:bidi="ar-SA"/>
              </w:rPr>
            </w:pPr>
          </w:p>
        </w:tc>
        <w:tc>
          <w:tcPr>
            <w:tcW w:w="873"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lang w:val="en-US" w:bidi="ar-SA"/>
              </w:rPr>
            </w:pPr>
          </w:p>
        </w:tc>
        <w:tc>
          <w:tcPr>
            <w:tcW w:w="1069" w:type="dxa"/>
            <w:tcBorders>
              <w:top w:val="single" w:color="auto" w:sz="4" w:space="0"/>
              <w:left w:val="single" w:color="auto" w:sz="8" w:space="0"/>
              <w:bottom w:val="single" w:color="auto" w:sz="4"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扇面布料</w:t>
            </w:r>
          </w:p>
        </w:tc>
        <w:tc>
          <w:tcPr>
            <w:tcW w:w="5924" w:type="dxa"/>
            <w:tcBorders>
              <w:top w:val="single" w:color="auto" w:sz="4" w:space="0"/>
              <w:right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扇面没明显污迹，跳丝,断线等缺陷</w:t>
            </w:r>
          </w:p>
        </w:tc>
        <w:tc>
          <w:tcPr>
            <w:tcW w:w="2957" w:type="dxa"/>
            <w:vMerge w:val="continue"/>
            <w:tcBorders>
              <w:right w:val="single" w:color="auto" w:sz="12" w:space="0"/>
            </w:tcBorders>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24"/>
                <w:szCs w:val="24"/>
                <w:u w:val="none"/>
                <w:lang w:val="en-US" w:eastAsia="zh-CN" w:bidi="ar-SA"/>
              </w:rPr>
            </w:pPr>
          </w:p>
        </w:tc>
        <w:tc>
          <w:tcPr>
            <w:tcW w:w="1538" w:type="dxa"/>
            <w:vMerge w:val="continue"/>
            <w:tcBorders>
              <w:right w:val="single" w:color="auto" w:sz="12" w:space="0"/>
            </w:tcBorders>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09"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lang w:val="en-US" w:bidi="ar-SA"/>
              </w:rPr>
            </w:pPr>
          </w:p>
        </w:tc>
        <w:tc>
          <w:tcPr>
            <w:tcW w:w="873" w:type="dxa"/>
            <w:vMerge w:val="continue"/>
            <w:tcBorders>
              <w:left w:val="single" w:color="auto" w:sz="12" w:space="0"/>
              <w:bottom w:val="single" w:color="auto" w:sz="4" w:space="0"/>
              <w:right w:val="single" w:color="auto" w:sz="8" w:space="0"/>
            </w:tcBorders>
          </w:tcPr>
          <w:p>
            <w:pPr>
              <w:pStyle w:val="22"/>
              <w:spacing w:before="0"/>
              <w:rPr>
                <w:rFonts w:ascii="Times New Roman" w:hAnsi="Times New Roman" w:cs="Times New Roman"/>
                <w:sz w:val="18"/>
                <w:szCs w:val="18"/>
                <w:lang w:val="en-US" w:bidi="ar-SA"/>
              </w:rPr>
            </w:pPr>
          </w:p>
        </w:tc>
        <w:tc>
          <w:tcPr>
            <w:tcW w:w="1069" w:type="dxa"/>
            <w:tcBorders>
              <w:top w:val="single" w:color="auto" w:sz="4" w:space="0"/>
              <w:left w:val="single" w:color="auto" w:sz="8" w:space="0"/>
              <w:bottom w:val="single" w:color="auto" w:sz="4"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绷面</w:t>
            </w:r>
          </w:p>
        </w:tc>
        <w:tc>
          <w:tcPr>
            <w:tcW w:w="5924" w:type="dxa"/>
            <w:tcBorders>
              <w:bottom w:val="single" w:color="auto" w:sz="4" w:space="0"/>
              <w:right w:val="single" w:color="auto" w:sz="12" w:space="0"/>
            </w:tcBorders>
          </w:tcPr>
          <w:p>
            <w:pPr>
              <w:pStyle w:val="22"/>
              <w:spacing w:before="0"/>
              <w:rPr>
                <w:rFonts w:ascii="Times New Roman" w:hAnsi="Times New Roman" w:cs="Times New Roman"/>
                <w:sz w:val="18"/>
                <w:szCs w:val="18"/>
                <w:lang w:val="en-US" w:bidi="ar-SA"/>
              </w:rPr>
            </w:pPr>
            <w:r>
              <w:rPr>
                <w:rFonts w:ascii="Times New Roman" w:hAnsi="Times New Roman" w:cs="Times New Roman"/>
                <w:sz w:val="18"/>
                <w:szCs w:val="18"/>
                <w:lang w:val="en-US" w:bidi="ar-SA"/>
              </w:rPr>
              <w:t>松紧适度，基本平整，没脱胶现象</w:t>
            </w:r>
          </w:p>
        </w:tc>
        <w:tc>
          <w:tcPr>
            <w:tcW w:w="2957" w:type="dxa"/>
            <w:vMerge w:val="continue"/>
            <w:tcBorders>
              <w:bottom w:val="single" w:color="auto" w:sz="4" w:space="0"/>
              <w:right w:val="single" w:color="auto" w:sz="12" w:space="0"/>
            </w:tcBorders>
          </w:tcPr>
          <w:p>
            <w:pPr>
              <w:spacing w:before="0"/>
              <w:rPr>
                <w:rFonts w:ascii="Times New Roman" w:hAnsi="Times New Roman" w:cs="Times New Roman"/>
                <w:sz w:val="18"/>
                <w:szCs w:val="18"/>
                <w:lang w:val="en-US" w:bidi="ar-SA"/>
              </w:rPr>
            </w:pPr>
          </w:p>
        </w:tc>
        <w:tc>
          <w:tcPr>
            <w:tcW w:w="1538" w:type="dxa"/>
            <w:vMerge w:val="continue"/>
            <w:tcBorders>
              <w:right w:val="single" w:color="auto" w:sz="12" w:space="0"/>
            </w:tcBorders>
          </w:tcPr>
          <w:p>
            <w:pPr>
              <w:spacing w:before="0"/>
              <w:rPr>
                <w:rFonts w:hint="eastAsia" w:ascii="等线" w:hAnsi="等线" w:eastAsia="等线" w:cs="等线"/>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09" w:type="dxa"/>
            <w:vMerge w:val="continue"/>
            <w:tcBorders>
              <w:left w:val="single" w:color="auto" w:sz="12" w:space="0"/>
              <w:right w:val="single" w:color="auto" w:sz="8" w:space="0"/>
            </w:tcBorders>
            <w:vAlign w:val="center"/>
          </w:tcPr>
          <w:p>
            <w:pPr>
              <w:pStyle w:val="22"/>
              <w:spacing w:before="0"/>
              <w:rPr>
                <w:rFonts w:hint="eastAsia" w:ascii="Times New Roman" w:hAnsi="Times New Roman" w:cs="Times New Roman"/>
                <w:sz w:val="18"/>
                <w:szCs w:val="18"/>
                <w:highlight w:val="none"/>
                <w:lang w:val="en-US" w:eastAsia="zh-CN" w:bidi="ar-SA"/>
              </w:rPr>
            </w:pPr>
          </w:p>
        </w:tc>
        <w:tc>
          <w:tcPr>
            <w:tcW w:w="873" w:type="dxa"/>
            <w:vMerge w:val="restart"/>
            <w:tcBorders>
              <w:top w:val="single" w:color="auto" w:sz="4" w:space="0"/>
              <w:left w:val="single" w:color="auto" w:sz="12" w:space="0"/>
              <w:right w:val="single" w:color="auto" w:sz="8" w:space="0"/>
            </w:tcBorders>
            <w:vAlign w:val="center"/>
          </w:tcPr>
          <w:p>
            <w:pPr>
              <w:pStyle w:val="22"/>
              <w:spacing w:before="0"/>
              <w:rPr>
                <w:rFonts w:hint="default" w:ascii="Times New Roman" w:hAnsi="Times New Roman" w:eastAsia="宋体" w:cs="Times New Roman"/>
                <w:sz w:val="18"/>
                <w:szCs w:val="18"/>
                <w:highlight w:val="yellow"/>
                <w:lang w:val="en-US" w:eastAsia="zh-CN" w:bidi="ar-SA"/>
              </w:rPr>
            </w:pPr>
            <w:r>
              <w:rPr>
                <w:rFonts w:hint="eastAsia" w:ascii="Times New Roman" w:hAnsi="Times New Roman" w:cs="Times New Roman"/>
                <w:sz w:val="18"/>
                <w:szCs w:val="18"/>
                <w:highlight w:val="none"/>
                <w:lang w:val="en-US" w:eastAsia="zh-CN" w:bidi="ar-SA"/>
              </w:rPr>
              <w:t>扇框</w:t>
            </w:r>
          </w:p>
        </w:tc>
        <w:tc>
          <w:tcPr>
            <w:tcW w:w="1069" w:type="dxa"/>
            <w:tcBorders>
              <w:top w:val="single" w:color="auto" w:sz="4" w:space="0"/>
              <w:left w:val="single" w:color="auto" w:sz="8" w:space="0"/>
              <w:bottom w:val="single" w:color="auto" w:sz="4" w:space="0"/>
            </w:tcBorders>
          </w:tcPr>
          <w:p>
            <w:pPr>
              <w:pStyle w:val="22"/>
              <w:spacing w:before="0"/>
              <w:rPr>
                <w:rFonts w:ascii="Times New Roman" w:hAnsi="Times New Roman" w:eastAsia="宋体" w:cs="Times New Roman"/>
                <w:kern w:val="2"/>
                <w:sz w:val="18"/>
                <w:szCs w:val="18"/>
                <w:lang w:val="en-US" w:eastAsia="zh-CN" w:bidi="ar-SA"/>
              </w:rPr>
            </w:pPr>
            <w:r>
              <w:rPr>
                <w:sz w:val="18"/>
                <w:szCs w:val="18"/>
              </w:rPr>
              <w:t>外型</w:t>
            </w:r>
          </w:p>
        </w:tc>
        <w:tc>
          <w:tcPr>
            <w:tcW w:w="5924" w:type="dxa"/>
            <w:tcBorders>
              <w:top w:val="single" w:color="auto" w:sz="4" w:space="0"/>
              <w:right w:val="single" w:color="auto" w:sz="12" w:space="0"/>
            </w:tcBorders>
            <w:vAlign w:val="top"/>
          </w:tcPr>
          <w:p>
            <w:pPr>
              <w:pStyle w:val="22"/>
              <w:spacing w:before="0"/>
              <w:rPr>
                <w:rFonts w:ascii="Times New Roman" w:hAnsi="Times New Roman" w:eastAsia="宋体" w:cs="Times New Roman"/>
                <w:kern w:val="2"/>
                <w:sz w:val="18"/>
                <w:szCs w:val="18"/>
                <w:lang w:val="en-US" w:eastAsia="zh-CN" w:bidi="ar-SA"/>
              </w:rPr>
            </w:pPr>
            <w:r>
              <w:rPr>
                <w:sz w:val="18"/>
                <w:szCs w:val="18"/>
              </w:rPr>
              <w:t>扇框及扇柄外表面平整、光洁，外形左右基本对称</w:t>
            </w:r>
          </w:p>
        </w:tc>
        <w:tc>
          <w:tcPr>
            <w:tcW w:w="2957" w:type="dxa"/>
            <w:tcBorders>
              <w:top w:val="single" w:color="auto" w:sz="4" w:space="0"/>
              <w:right w:val="single" w:color="auto" w:sz="12" w:space="0"/>
            </w:tcBorders>
            <w:vAlign w:val="top"/>
          </w:tcPr>
          <w:p>
            <w:pPr>
              <w:spacing w:before="0"/>
              <w:rPr>
                <w:sz w:val="18"/>
                <w:szCs w:val="18"/>
              </w:rPr>
            </w:pPr>
            <w:r>
              <w:rPr>
                <w:rFonts w:hint="eastAsia" w:ascii="等线" w:hAnsi="等线" w:eastAsia="等线" w:cs="等线"/>
                <w:i w:val="0"/>
                <w:iCs w:val="0"/>
                <w:color w:val="000000"/>
                <w:kern w:val="0"/>
                <w:sz w:val="18"/>
                <w:szCs w:val="18"/>
                <w:u w:val="none"/>
                <w:lang w:val="en-US" w:eastAsia="zh-CN" w:bidi="ar"/>
              </w:rPr>
              <w:t>——</w:t>
            </w:r>
          </w:p>
        </w:tc>
        <w:tc>
          <w:tcPr>
            <w:tcW w:w="1538" w:type="dxa"/>
            <w:vMerge w:val="continue"/>
            <w:tcBorders>
              <w:right w:val="single" w:color="auto" w:sz="12" w:space="0"/>
            </w:tcBorders>
            <w:vAlign w:val="top"/>
          </w:tcPr>
          <w:p>
            <w:pPr>
              <w:spacing w:before="0"/>
              <w:rPr>
                <w:rFonts w:hint="eastAsia" w:ascii="等线" w:hAnsi="等线" w:eastAsia="等线" w:cs="等线"/>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09"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highlight w:val="yellow"/>
                <w:lang w:val="en-US" w:bidi="ar-SA"/>
              </w:rPr>
            </w:pPr>
          </w:p>
        </w:tc>
        <w:tc>
          <w:tcPr>
            <w:tcW w:w="873" w:type="dxa"/>
            <w:vMerge w:val="continue"/>
            <w:tcBorders>
              <w:left w:val="single" w:color="auto" w:sz="12" w:space="0"/>
              <w:right w:val="single" w:color="auto" w:sz="8" w:space="0"/>
            </w:tcBorders>
          </w:tcPr>
          <w:p>
            <w:pPr>
              <w:pStyle w:val="22"/>
              <w:spacing w:before="0"/>
              <w:rPr>
                <w:rFonts w:ascii="Times New Roman" w:hAnsi="Times New Roman" w:cs="Times New Roman"/>
                <w:sz w:val="18"/>
                <w:szCs w:val="18"/>
                <w:highlight w:val="yellow"/>
                <w:lang w:val="en-US" w:bidi="ar-SA"/>
              </w:rPr>
            </w:pPr>
          </w:p>
        </w:tc>
        <w:tc>
          <w:tcPr>
            <w:tcW w:w="1069" w:type="dxa"/>
            <w:tcBorders>
              <w:top w:val="single" w:color="auto" w:sz="4" w:space="0"/>
              <w:left w:val="single" w:color="auto" w:sz="8" w:space="0"/>
            </w:tcBorders>
          </w:tcPr>
          <w:p>
            <w:pPr>
              <w:pStyle w:val="22"/>
              <w:spacing w:before="0"/>
              <w:rPr>
                <w:rFonts w:ascii="Times New Roman" w:hAnsi="Times New Roman" w:eastAsia="宋体" w:cs="Times New Roman"/>
                <w:kern w:val="2"/>
                <w:sz w:val="18"/>
                <w:szCs w:val="18"/>
                <w:lang w:val="en-US" w:eastAsia="zh-CN" w:bidi="ar-SA"/>
              </w:rPr>
            </w:pPr>
            <w:r>
              <w:rPr>
                <w:sz w:val="18"/>
                <w:szCs w:val="18"/>
              </w:rPr>
              <w:t>色泽</w:t>
            </w:r>
          </w:p>
        </w:tc>
        <w:tc>
          <w:tcPr>
            <w:tcW w:w="5924" w:type="dxa"/>
            <w:tcBorders>
              <w:right w:val="single" w:color="auto" w:sz="12" w:space="0"/>
            </w:tcBorders>
            <w:vAlign w:val="top"/>
          </w:tcPr>
          <w:p>
            <w:pPr>
              <w:pStyle w:val="22"/>
              <w:spacing w:before="0"/>
              <w:rPr>
                <w:rFonts w:ascii="Times New Roman" w:hAnsi="Times New Roman" w:eastAsia="宋体" w:cs="Times New Roman"/>
                <w:kern w:val="2"/>
                <w:sz w:val="18"/>
                <w:szCs w:val="18"/>
                <w:lang w:val="en-US" w:eastAsia="zh-CN" w:bidi="ar-SA"/>
              </w:rPr>
            </w:pPr>
            <w:r>
              <w:rPr>
                <w:sz w:val="18"/>
                <w:szCs w:val="18"/>
              </w:rPr>
              <w:t>无明显色差</w:t>
            </w:r>
          </w:p>
        </w:tc>
        <w:tc>
          <w:tcPr>
            <w:tcW w:w="2957" w:type="dxa"/>
            <w:tcBorders>
              <w:right w:val="single" w:color="auto" w:sz="12" w:space="0"/>
            </w:tcBorders>
            <w:vAlign w:val="top"/>
          </w:tcPr>
          <w:p>
            <w:pPr>
              <w:spacing w:before="0"/>
              <w:rPr>
                <w:sz w:val="18"/>
                <w:szCs w:val="18"/>
              </w:rPr>
            </w:pPr>
            <w:r>
              <w:rPr>
                <w:rFonts w:hint="eastAsia" w:ascii="等线" w:hAnsi="等线" w:eastAsia="等线" w:cs="等线"/>
                <w:i w:val="0"/>
                <w:iCs w:val="0"/>
                <w:color w:val="000000"/>
                <w:kern w:val="0"/>
                <w:sz w:val="18"/>
                <w:szCs w:val="18"/>
                <w:u w:val="none"/>
                <w:lang w:val="en-US" w:eastAsia="zh-CN" w:bidi="ar"/>
              </w:rPr>
              <w:t>——</w:t>
            </w:r>
          </w:p>
        </w:tc>
        <w:tc>
          <w:tcPr>
            <w:tcW w:w="1538" w:type="dxa"/>
            <w:vMerge w:val="continue"/>
            <w:tcBorders>
              <w:right w:val="single" w:color="auto" w:sz="12" w:space="0"/>
            </w:tcBorders>
            <w:vAlign w:val="top"/>
          </w:tcPr>
          <w:p>
            <w:pPr>
              <w:spacing w:before="0"/>
              <w:rPr>
                <w:rFonts w:hint="eastAsia" w:ascii="等线" w:hAnsi="等线" w:eastAsia="等线" w:cs="等线"/>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09" w:type="dxa"/>
            <w:vMerge w:val="continue"/>
            <w:tcBorders>
              <w:left w:val="single" w:color="auto" w:sz="12" w:space="0"/>
              <w:right w:val="single" w:color="auto" w:sz="8" w:space="0"/>
            </w:tcBorders>
          </w:tcPr>
          <w:p>
            <w:pPr>
              <w:pStyle w:val="22"/>
              <w:spacing w:before="0"/>
              <w:rPr>
                <w:rFonts w:hint="eastAsia"/>
                <w:sz w:val="18"/>
                <w:szCs w:val="18"/>
                <w:lang w:val="en-US"/>
              </w:rPr>
            </w:pPr>
          </w:p>
        </w:tc>
        <w:tc>
          <w:tcPr>
            <w:tcW w:w="1942" w:type="dxa"/>
            <w:gridSpan w:val="2"/>
            <w:tcBorders>
              <w:left w:val="single" w:color="auto" w:sz="12" w:space="0"/>
            </w:tcBorders>
          </w:tcPr>
          <w:p>
            <w:pPr>
              <w:pStyle w:val="22"/>
              <w:spacing w:before="0"/>
              <w:rPr>
                <w:rFonts w:hint="eastAsia"/>
                <w:sz w:val="18"/>
                <w:szCs w:val="18"/>
                <w:lang w:val="en-US"/>
              </w:rPr>
            </w:pPr>
            <w:r>
              <w:rPr>
                <w:rFonts w:hint="eastAsia"/>
                <w:sz w:val="18"/>
                <w:szCs w:val="18"/>
                <w:lang w:val="en-US"/>
              </w:rPr>
              <w:t>扇柄</w:t>
            </w:r>
          </w:p>
        </w:tc>
        <w:tc>
          <w:tcPr>
            <w:tcW w:w="5924" w:type="dxa"/>
            <w:tcBorders>
              <w:right w:val="single" w:color="auto" w:sz="12" w:space="0"/>
            </w:tcBorders>
          </w:tcPr>
          <w:p>
            <w:pPr>
              <w:pStyle w:val="22"/>
              <w:spacing w:before="0"/>
              <w:rPr>
                <w:rFonts w:hint="default" w:ascii="Times New Roman" w:hAnsi="Times New Roman" w:eastAsia="宋体" w:cs="Times New Roman"/>
                <w:sz w:val="18"/>
                <w:szCs w:val="18"/>
                <w:highlight w:val="yellow"/>
                <w:lang w:val="en-US" w:eastAsia="zh-CN" w:bidi="ar-SA"/>
              </w:rPr>
            </w:pPr>
            <w:r>
              <w:rPr>
                <w:rFonts w:hint="eastAsia"/>
                <w:sz w:val="18"/>
                <w:szCs w:val="18"/>
                <w:lang w:val="en-US" w:eastAsia="zh-CN"/>
              </w:rPr>
              <w:t>无隙裂，</w:t>
            </w:r>
            <w:r>
              <w:rPr>
                <w:rFonts w:hint="eastAsia"/>
                <w:sz w:val="18"/>
                <w:szCs w:val="18"/>
                <w:lang w:val="en-US"/>
              </w:rPr>
              <w:t>无毛刺扎手</w:t>
            </w:r>
          </w:p>
        </w:tc>
        <w:tc>
          <w:tcPr>
            <w:tcW w:w="2957" w:type="dxa"/>
            <w:tcBorders>
              <w:right w:val="single" w:color="auto" w:sz="12" w:space="0"/>
            </w:tcBorders>
          </w:tcPr>
          <w:p>
            <w:pPr>
              <w:spacing w:before="0"/>
              <w:rPr>
                <w:rFonts w:hint="eastAsia"/>
                <w:sz w:val="18"/>
                <w:szCs w:val="18"/>
                <w:lang w:val="en-US" w:eastAsia="zh-CN"/>
              </w:rPr>
            </w:pPr>
            <w:r>
              <w:rPr>
                <w:rFonts w:hint="eastAsia" w:ascii="等线" w:hAnsi="等线" w:eastAsia="等线" w:cs="等线"/>
                <w:i w:val="0"/>
                <w:iCs w:val="0"/>
                <w:color w:val="000000"/>
                <w:kern w:val="0"/>
                <w:sz w:val="18"/>
                <w:szCs w:val="18"/>
                <w:u w:val="none"/>
                <w:lang w:val="en-US" w:eastAsia="zh-CN" w:bidi="ar"/>
              </w:rPr>
              <w:t>——</w:t>
            </w:r>
          </w:p>
        </w:tc>
        <w:tc>
          <w:tcPr>
            <w:tcW w:w="1538" w:type="dxa"/>
            <w:vMerge w:val="continue"/>
            <w:tcBorders>
              <w:right w:val="single" w:color="auto" w:sz="12" w:space="0"/>
            </w:tcBorders>
          </w:tcPr>
          <w:p>
            <w:pPr>
              <w:spacing w:before="0"/>
              <w:rPr>
                <w:rFonts w:hint="eastAsia" w:ascii="等线" w:hAnsi="等线" w:eastAsia="等线" w:cs="等线"/>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09" w:type="dxa"/>
            <w:vMerge w:val="continue"/>
            <w:tcBorders>
              <w:left w:val="single" w:color="auto" w:sz="12" w:space="0"/>
              <w:right w:val="single" w:color="auto" w:sz="8" w:space="0"/>
            </w:tcBorders>
          </w:tcPr>
          <w:p>
            <w:pPr>
              <w:pStyle w:val="22"/>
              <w:spacing w:before="0"/>
              <w:rPr>
                <w:rFonts w:hint="eastAsia"/>
                <w:sz w:val="18"/>
                <w:szCs w:val="18"/>
                <w:highlight w:val="none"/>
                <w:lang w:val="en-US" w:eastAsia="zh-CN"/>
              </w:rPr>
            </w:pPr>
          </w:p>
        </w:tc>
        <w:tc>
          <w:tcPr>
            <w:tcW w:w="1942" w:type="dxa"/>
            <w:gridSpan w:val="2"/>
            <w:tcBorders>
              <w:left w:val="single" w:color="auto" w:sz="12" w:space="0"/>
            </w:tcBorders>
          </w:tcPr>
          <w:p>
            <w:pPr>
              <w:pStyle w:val="22"/>
              <w:spacing w:before="0"/>
              <w:rPr>
                <w:rFonts w:hint="eastAsia" w:ascii="Times New Roman" w:hAnsi="Times New Roman" w:cs="Times New Roman"/>
                <w:sz w:val="18"/>
                <w:szCs w:val="18"/>
                <w:highlight w:val="none"/>
                <w:lang w:val="en-US" w:eastAsia="zh-CN" w:bidi="ar-SA"/>
              </w:rPr>
            </w:pPr>
            <w:r>
              <w:rPr>
                <w:rFonts w:hint="eastAsia"/>
                <w:sz w:val="18"/>
                <w:szCs w:val="18"/>
                <w:highlight w:val="none"/>
                <w:lang w:val="en-US" w:eastAsia="zh-CN"/>
              </w:rPr>
              <w:t>扇须</w:t>
            </w:r>
          </w:p>
        </w:tc>
        <w:tc>
          <w:tcPr>
            <w:tcW w:w="5924" w:type="dxa"/>
            <w:tcBorders>
              <w:right w:val="single" w:color="auto" w:sz="12" w:space="0"/>
            </w:tcBorders>
          </w:tcPr>
          <w:p>
            <w:pPr>
              <w:pStyle w:val="22"/>
              <w:spacing w:before="0"/>
              <w:rPr>
                <w:rFonts w:hint="default"/>
                <w:sz w:val="18"/>
                <w:szCs w:val="18"/>
                <w:highlight w:val="none"/>
                <w:lang w:val="en-US" w:eastAsia="zh-CN"/>
              </w:rPr>
            </w:pPr>
            <w:r>
              <w:rPr>
                <w:rFonts w:hint="eastAsia"/>
                <w:sz w:val="18"/>
                <w:szCs w:val="18"/>
                <w:highlight w:val="none"/>
                <w:lang w:val="en-US" w:eastAsia="zh-CN"/>
              </w:rPr>
              <w:t>须结不松散不脱落</w:t>
            </w:r>
          </w:p>
        </w:tc>
        <w:tc>
          <w:tcPr>
            <w:tcW w:w="2957" w:type="dxa"/>
            <w:tcBorders>
              <w:right w:val="single" w:color="auto" w:sz="12" w:space="0"/>
            </w:tcBorders>
          </w:tcPr>
          <w:p>
            <w:pPr>
              <w:spacing w:before="0"/>
              <w:rPr>
                <w:rFonts w:hint="eastAsia"/>
                <w:sz w:val="18"/>
                <w:szCs w:val="18"/>
                <w:highlight w:val="none"/>
                <w:lang w:val="en-US" w:eastAsia="zh-CN"/>
              </w:rPr>
            </w:pPr>
            <w:r>
              <w:rPr>
                <w:rFonts w:hint="eastAsia" w:ascii="等线" w:hAnsi="等线" w:eastAsia="等线" w:cs="等线"/>
                <w:i w:val="0"/>
                <w:iCs w:val="0"/>
                <w:color w:val="000000"/>
                <w:kern w:val="0"/>
                <w:sz w:val="18"/>
                <w:szCs w:val="18"/>
                <w:u w:val="none"/>
                <w:lang w:val="en-US" w:eastAsia="zh-CN" w:bidi="ar"/>
              </w:rPr>
              <w:t>——</w:t>
            </w:r>
          </w:p>
        </w:tc>
        <w:tc>
          <w:tcPr>
            <w:tcW w:w="1538" w:type="dxa"/>
            <w:vMerge w:val="continue"/>
            <w:tcBorders>
              <w:right w:val="single" w:color="auto" w:sz="12" w:space="0"/>
            </w:tcBorders>
          </w:tcPr>
          <w:p>
            <w:pPr>
              <w:spacing w:before="0"/>
              <w:rPr>
                <w:rFonts w:hint="eastAsia" w:ascii="等线" w:hAnsi="等线" w:eastAsia="等线" w:cs="等线"/>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09" w:type="dxa"/>
            <w:vMerge w:val="continue"/>
            <w:tcBorders>
              <w:left w:val="single" w:color="auto" w:sz="12" w:space="0"/>
              <w:right w:val="single" w:color="auto" w:sz="8" w:space="0"/>
            </w:tcBorders>
            <w:vAlign w:val="top"/>
          </w:tcPr>
          <w:p>
            <w:pPr>
              <w:pStyle w:val="22"/>
              <w:spacing w:before="0"/>
              <w:rPr>
                <w:rFonts w:ascii="Times New Roman" w:hAnsi="Times New Roman" w:cs="Times New Roman"/>
                <w:sz w:val="18"/>
                <w:szCs w:val="18"/>
                <w:highlight w:val="none"/>
                <w:lang w:val="en-US" w:bidi="ar-SA"/>
              </w:rPr>
            </w:pPr>
          </w:p>
        </w:tc>
        <w:tc>
          <w:tcPr>
            <w:tcW w:w="1942" w:type="dxa"/>
            <w:gridSpan w:val="2"/>
            <w:tcBorders>
              <w:left w:val="single" w:color="auto" w:sz="12" w:space="0"/>
            </w:tcBorders>
            <w:vAlign w:val="top"/>
          </w:tcPr>
          <w:p>
            <w:pPr>
              <w:pStyle w:val="22"/>
              <w:spacing w:before="0"/>
              <w:rPr>
                <w:rFonts w:hint="eastAsia" w:ascii="Times New Roman" w:hAnsi="Times New Roman" w:eastAsia="宋体" w:cs="Times New Roman"/>
                <w:kern w:val="2"/>
                <w:sz w:val="18"/>
                <w:szCs w:val="18"/>
                <w:highlight w:val="none"/>
                <w:lang w:val="en-US" w:eastAsia="zh-CN" w:bidi="ar-SA"/>
              </w:rPr>
            </w:pPr>
            <w:r>
              <w:rPr>
                <w:rFonts w:ascii="Times New Roman" w:hAnsi="Times New Roman" w:cs="Times New Roman"/>
                <w:sz w:val="18"/>
                <w:szCs w:val="18"/>
                <w:highlight w:val="none"/>
                <w:lang w:val="en-US" w:bidi="ar-SA"/>
              </w:rPr>
              <w:t>沿</w:t>
            </w:r>
            <w:r>
              <w:rPr>
                <w:rFonts w:hint="eastAsia" w:ascii="Times New Roman" w:hAnsi="Times New Roman" w:cs="Times New Roman"/>
                <w:sz w:val="18"/>
                <w:szCs w:val="18"/>
                <w:highlight w:val="none"/>
                <w:lang w:val="en-US" w:bidi="ar-SA"/>
              </w:rPr>
              <w:t>边</w:t>
            </w:r>
            <w:r>
              <w:rPr>
                <w:rFonts w:ascii="Times New Roman" w:hAnsi="Times New Roman" w:cs="Times New Roman"/>
                <w:sz w:val="18"/>
                <w:szCs w:val="18"/>
                <w:highlight w:val="none"/>
                <w:lang w:val="en-US" w:bidi="ar-SA"/>
              </w:rPr>
              <w:t>条</w:t>
            </w:r>
          </w:p>
        </w:tc>
        <w:tc>
          <w:tcPr>
            <w:tcW w:w="5924" w:type="dxa"/>
            <w:tcBorders>
              <w:right w:val="single" w:color="auto" w:sz="12" w:space="0"/>
            </w:tcBorders>
            <w:vAlign w:val="top"/>
          </w:tcPr>
          <w:p>
            <w:pPr>
              <w:pStyle w:val="22"/>
              <w:spacing w:before="0"/>
              <w:rPr>
                <w:rFonts w:hint="eastAsia" w:ascii="Times New Roman" w:hAnsi="Times New Roman" w:eastAsia="宋体" w:cs="Times New Roman"/>
                <w:kern w:val="2"/>
                <w:sz w:val="18"/>
                <w:szCs w:val="18"/>
                <w:highlight w:val="none"/>
                <w:lang w:val="en-US" w:eastAsia="zh-CN" w:bidi="ar-SA"/>
              </w:rPr>
            </w:pPr>
            <w:r>
              <w:rPr>
                <w:rFonts w:ascii="Times New Roman" w:hAnsi="Times New Roman" w:cs="Times New Roman"/>
                <w:sz w:val="18"/>
                <w:szCs w:val="18"/>
                <w:highlight w:val="none"/>
                <w:lang w:val="en-US" w:bidi="ar-SA"/>
              </w:rPr>
              <w:t>基本均匀、无壳条、断条、缺损等缺陷</w:t>
            </w:r>
          </w:p>
        </w:tc>
        <w:tc>
          <w:tcPr>
            <w:tcW w:w="2957" w:type="dxa"/>
            <w:tcBorders>
              <w:right w:val="single" w:color="auto" w:sz="12" w:space="0"/>
            </w:tcBorders>
            <w:vAlign w:val="top"/>
          </w:tcPr>
          <w:p>
            <w:pPr>
              <w:spacing w:before="0"/>
              <w:rPr>
                <w:rFonts w:ascii="Times New Roman" w:hAnsi="Times New Roman" w:cs="Times New Roman"/>
                <w:sz w:val="18"/>
                <w:szCs w:val="18"/>
                <w:highlight w:val="none"/>
                <w:lang w:val="en-US" w:bidi="ar-SA"/>
              </w:rPr>
            </w:pPr>
            <w:r>
              <w:rPr>
                <w:rFonts w:hint="eastAsia" w:ascii="等线" w:hAnsi="等线" w:eastAsia="等线" w:cs="等线"/>
                <w:i w:val="0"/>
                <w:iCs w:val="0"/>
                <w:color w:val="000000"/>
                <w:kern w:val="0"/>
                <w:sz w:val="18"/>
                <w:szCs w:val="18"/>
                <w:u w:val="none"/>
                <w:lang w:val="en-US" w:eastAsia="zh-CN" w:bidi="ar"/>
              </w:rPr>
              <w:t>——</w:t>
            </w:r>
          </w:p>
        </w:tc>
        <w:tc>
          <w:tcPr>
            <w:tcW w:w="1538" w:type="dxa"/>
            <w:vMerge w:val="continue"/>
            <w:tcBorders>
              <w:right w:val="single" w:color="auto" w:sz="12" w:space="0"/>
            </w:tcBorders>
            <w:vAlign w:val="top"/>
          </w:tcPr>
          <w:p>
            <w:pPr>
              <w:spacing w:before="0"/>
              <w:rPr>
                <w:rFonts w:hint="eastAsia" w:ascii="等线" w:hAnsi="等线" w:eastAsia="等线" w:cs="等线"/>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51" w:type="dxa"/>
            <w:gridSpan w:val="3"/>
            <w:tcBorders>
              <w:left w:val="single" w:color="auto" w:sz="12" w:space="0"/>
            </w:tcBorders>
            <w:vAlign w:val="center"/>
          </w:tcPr>
          <w:p>
            <w:pPr>
              <w:pStyle w:val="22"/>
              <w:spacing w:before="0"/>
              <w:jc w:val="center"/>
              <w:rPr>
                <w:rFonts w:hint="default" w:ascii="Times New Roman" w:hAnsi="Times New Roman" w:cs="Times New Roman"/>
                <w:sz w:val="18"/>
                <w:szCs w:val="18"/>
                <w:lang w:val="en-US" w:eastAsia="zh-CN" w:bidi="ar-SA"/>
              </w:rPr>
            </w:pPr>
            <w:r>
              <w:rPr>
                <w:rFonts w:hint="eastAsia" w:ascii="Times New Roman" w:hAnsi="Times New Roman" w:cs="Times New Roman"/>
                <w:sz w:val="18"/>
                <w:szCs w:val="18"/>
                <w:lang w:val="en-US" w:eastAsia="zh-CN" w:bidi="ar-SA"/>
              </w:rPr>
              <w:t>尺寸偏差</w:t>
            </w:r>
          </w:p>
        </w:tc>
        <w:tc>
          <w:tcPr>
            <w:tcW w:w="5924" w:type="dxa"/>
            <w:tcBorders>
              <w:right w:val="single" w:color="auto" w:sz="12" w:space="0"/>
            </w:tcBorders>
            <w:vAlign w:val="top"/>
          </w:tcPr>
          <w:p>
            <w:pPr>
              <w:pStyle w:val="22"/>
              <w:spacing w:before="0"/>
              <w:rPr>
                <w:rFonts w:hint="eastAsia"/>
                <w:sz w:val="18"/>
                <w:szCs w:val="18"/>
                <w:lang w:val="en-US"/>
              </w:rPr>
            </w:pPr>
            <w:r>
              <w:rPr>
                <w:rFonts w:hint="eastAsia"/>
                <w:sz w:val="18"/>
                <w:szCs w:val="18"/>
                <w:lang w:val="en-US"/>
              </w:rPr>
              <w:t>≤±</w:t>
            </w:r>
            <w:r>
              <w:rPr>
                <w:rFonts w:hint="eastAsia"/>
                <w:sz w:val="18"/>
                <w:szCs w:val="18"/>
                <w:lang w:val="en-US" w:eastAsia="zh-CN"/>
              </w:rPr>
              <w:t>4</w:t>
            </w:r>
            <w:r>
              <w:rPr>
                <w:rFonts w:hint="eastAsia"/>
                <w:sz w:val="18"/>
                <w:szCs w:val="18"/>
                <w:lang w:val="en-US"/>
              </w:rPr>
              <w:t>mm</w:t>
            </w:r>
          </w:p>
        </w:tc>
        <w:tc>
          <w:tcPr>
            <w:tcW w:w="2957" w:type="dxa"/>
            <w:tcBorders>
              <w:right w:val="single" w:color="auto" w:sz="12" w:space="0"/>
            </w:tcBorders>
            <w:vAlign w:val="top"/>
          </w:tcPr>
          <w:p>
            <w:pPr>
              <w:pStyle w:val="22"/>
              <w:spacing w:before="0"/>
              <w:rPr>
                <w:rFonts w:hint="eastAsia"/>
                <w:sz w:val="18"/>
                <w:szCs w:val="18"/>
                <w:lang w:val="en-US"/>
              </w:rPr>
            </w:pPr>
            <w:r>
              <w:rPr>
                <w:rFonts w:hint="eastAsia"/>
                <w:sz w:val="18"/>
                <w:szCs w:val="18"/>
                <w:lang w:val="en-US"/>
              </w:rPr>
              <w:t>柄长≤±</w:t>
            </w:r>
            <w:r>
              <w:rPr>
                <w:rFonts w:hint="eastAsia"/>
                <w:sz w:val="18"/>
                <w:szCs w:val="18"/>
                <w:lang w:val="en-US" w:eastAsia="zh-CN"/>
              </w:rPr>
              <w:t>5</w:t>
            </w:r>
            <w:r>
              <w:rPr>
                <w:rFonts w:hint="eastAsia"/>
                <w:sz w:val="18"/>
                <w:szCs w:val="18"/>
                <w:lang w:val="en-US"/>
              </w:rPr>
              <w:t>mm</w:t>
            </w:r>
            <w:r>
              <w:rPr>
                <w:rFonts w:hint="eastAsia"/>
                <w:sz w:val="18"/>
                <w:szCs w:val="18"/>
                <w:lang w:val="en-US" w:eastAsia="zh-CN"/>
              </w:rPr>
              <w:t>，</w:t>
            </w:r>
            <w:r>
              <w:rPr>
                <w:rFonts w:hint="eastAsia"/>
                <w:sz w:val="18"/>
                <w:szCs w:val="18"/>
                <w:lang w:val="en-US"/>
              </w:rPr>
              <w:t>面长≤±</w:t>
            </w:r>
            <w:r>
              <w:rPr>
                <w:rFonts w:hint="eastAsia"/>
                <w:sz w:val="18"/>
                <w:szCs w:val="18"/>
                <w:lang w:val="en-US" w:eastAsia="zh-CN"/>
              </w:rPr>
              <w:t>3</w:t>
            </w:r>
            <w:r>
              <w:rPr>
                <w:rFonts w:hint="eastAsia"/>
                <w:sz w:val="18"/>
                <w:szCs w:val="18"/>
                <w:lang w:val="en-US"/>
              </w:rPr>
              <w:t>mm</w:t>
            </w:r>
          </w:p>
        </w:tc>
        <w:tc>
          <w:tcPr>
            <w:tcW w:w="1538" w:type="dxa"/>
            <w:tcBorders>
              <w:right w:val="single" w:color="auto" w:sz="12" w:space="0"/>
            </w:tcBorders>
            <w:vAlign w:val="top"/>
          </w:tcPr>
          <w:p>
            <w:pPr>
              <w:pStyle w:val="22"/>
              <w:spacing w:before="0"/>
              <w:rPr>
                <w:rFonts w:hint="eastAsia" w:ascii="Times New Roman" w:hAnsi="Times New Roman" w:eastAsia="宋体" w:cs="Times New Roman"/>
                <w:sz w:val="18"/>
                <w:szCs w:val="18"/>
                <w:lang w:val="en-US" w:eastAsia="zh-CN" w:bidi="ar-SA"/>
              </w:rPr>
            </w:pPr>
            <w:r>
              <w:rPr>
                <w:rFonts w:hint="eastAsia" w:ascii="Times New Roman" w:hAnsi="Times New Roman" w:cs="Times New Roman"/>
                <w:sz w:val="18"/>
                <w:szCs w:val="18"/>
                <w:lang w:val="en-US" w:eastAsia="zh-CN" w:bidi="ar-SA"/>
              </w:rPr>
              <w:t>持平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51" w:type="dxa"/>
            <w:gridSpan w:val="3"/>
            <w:tcBorders>
              <w:left w:val="single" w:color="auto" w:sz="12" w:space="0"/>
            </w:tcBorders>
            <w:vAlign w:val="center"/>
          </w:tcPr>
          <w:p>
            <w:pPr>
              <w:pStyle w:val="22"/>
              <w:spacing w:before="0"/>
              <w:jc w:val="center"/>
              <w:rPr>
                <w:rFonts w:hint="default" w:ascii="Times New Roman" w:hAnsi="Times New Roman" w:cs="Times New Roman"/>
                <w:sz w:val="18"/>
                <w:szCs w:val="18"/>
                <w:lang w:val="en-US" w:eastAsia="zh-CN" w:bidi="ar-SA"/>
              </w:rPr>
            </w:pPr>
            <w:r>
              <w:rPr>
                <w:rFonts w:hint="eastAsia" w:ascii="Times New Roman" w:hAnsi="Times New Roman" w:cs="Times New Roman"/>
                <w:sz w:val="18"/>
                <w:szCs w:val="18"/>
                <w:lang w:val="en-US" w:eastAsia="zh-CN" w:bidi="ar-SA"/>
              </w:rPr>
              <w:t>使用寿命</w:t>
            </w:r>
          </w:p>
        </w:tc>
        <w:tc>
          <w:tcPr>
            <w:tcW w:w="5924" w:type="dxa"/>
            <w:tcBorders>
              <w:right w:val="single" w:color="auto" w:sz="12" w:space="0"/>
            </w:tcBorders>
            <w:vAlign w:val="center"/>
          </w:tcPr>
          <w:p>
            <w:pPr>
              <w:pStyle w:val="22"/>
              <w:spacing w:before="0"/>
              <w:rPr>
                <w:rFonts w:hint="eastAsia" w:ascii="Times New Roman" w:hAnsi="Times New Roman" w:cs="Times New Roman"/>
                <w:sz w:val="18"/>
                <w:szCs w:val="18"/>
                <w:lang w:val="en-US" w:eastAsia="zh-CN" w:bidi="ar-SA"/>
              </w:rPr>
            </w:pPr>
            <w:r>
              <w:rPr>
                <w:rFonts w:hint="eastAsia" w:ascii="Times New Roman" w:hAnsi="Times New Roman" w:cs="Times New Roman"/>
                <w:sz w:val="18"/>
                <w:szCs w:val="18"/>
                <w:lang w:val="en-US" w:eastAsia="zh-CN" w:bidi="ar-SA"/>
              </w:rPr>
              <w:t>扇面以6N力扇风，次数大于3000次，不应出现扇面破裂、扇面与扇框脱离等现象</w:t>
            </w:r>
          </w:p>
        </w:tc>
        <w:tc>
          <w:tcPr>
            <w:tcW w:w="2957" w:type="dxa"/>
            <w:tcBorders>
              <w:right w:val="single" w:color="auto" w:sz="12" w:space="0"/>
            </w:tcBorders>
            <w:vAlign w:val="center"/>
          </w:tcPr>
          <w:p>
            <w:pPr>
              <w:pStyle w:val="22"/>
              <w:spacing w:before="0"/>
              <w:rPr>
                <w:rFonts w:hint="eastAsia" w:ascii="Times New Roman" w:hAnsi="Times New Roman" w:cs="Times New Roman"/>
                <w:sz w:val="18"/>
                <w:szCs w:val="18"/>
                <w:lang w:val="en-US" w:eastAsia="zh-CN" w:bidi="ar-SA"/>
              </w:rPr>
            </w:pPr>
            <w:r>
              <w:rPr>
                <w:rFonts w:hint="eastAsia" w:ascii="Times New Roman" w:hAnsi="Times New Roman" w:cs="Times New Roman"/>
                <w:sz w:val="18"/>
                <w:szCs w:val="18"/>
                <w:lang w:val="en-US" w:eastAsia="zh-CN" w:bidi="ar-SA"/>
              </w:rPr>
              <w:t>连续开合3000次，不应出现扇面破裂、扇骨散落、销钉松脱等现象。</w:t>
            </w:r>
          </w:p>
        </w:tc>
        <w:tc>
          <w:tcPr>
            <w:tcW w:w="1538" w:type="dxa"/>
            <w:tcBorders>
              <w:right w:val="single" w:color="auto" w:sz="12" w:space="0"/>
            </w:tcBorders>
            <w:vAlign w:val="center"/>
          </w:tcPr>
          <w:p>
            <w:pPr>
              <w:pStyle w:val="22"/>
              <w:spacing w:before="0"/>
              <w:rPr>
                <w:rFonts w:hint="default" w:ascii="Times New Roman" w:hAnsi="Times New Roman" w:cs="Times New Roman"/>
                <w:sz w:val="18"/>
                <w:szCs w:val="18"/>
                <w:lang w:val="en-US" w:eastAsia="zh-CN" w:bidi="ar-SA"/>
              </w:rPr>
            </w:pPr>
            <w:r>
              <w:rPr>
                <w:rFonts w:hint="eastAsia" w:ascii="Times New Roman" w:hAnsi="Times New Roman" w:cs="Times New Roman"/>
                <w:sz w:val="18"/>
                <w:szCs w:val="18"/>
                <w:lang w:val="en-US" w:eastAsia="zh-CN" w:bidi="ar-SA"/>
              </w:rPr>
              <w:t>持平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51" w:type="dxa"/>
            <w:gridSpan w:val="3"/>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耐跌落性</w:t>
            </w:r>
          </w:p>
        </w:tc>
        <w:tc>
          <w:tcPr>
            <w:tcW w:w="5924"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产品经耐跌落试验后，应无断裂、松脱现象</w:t>
            </w:r>
          </w:p>
        </w:tc>
        <w:tc>
          <w:tcPr>
            <w:tcW w:w="295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经耐跌落试验后，应无断裂、松脱现象。</w:t>
            </w:r>
          </w:p>
        </w:tc>
        <w:tc>
          <w:tcPr>
            <w:tcW w:w="153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持平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51" w:type="dxa"/>
            <w:gridSpan w:val="3"/>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有害元素限量</w:t>
            </w:r>
          </w:p>
        </w:tc>
        <w:tc>
          <w:tcPr>
            <w:tcW w:w="5924"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产品中有害元素限量应符合GB 28480的相关规定 </w:t>
            </w:r>
          </w:p>
        </w:tc>
        <w:tc>
          <w:tcPr>
            <w:tcW w:w="295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w:t>
            </w:r>
          </w:p>
        </w:tc>
        <w:tc>
          <w:tcPr>
            <w:tcW w:w="153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51" w:type="dxa"/>
            <w:gridSpan w:val="3"/>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游离甲醛含量</w:t>
            </w:r>
          </w:p>
        </w:tc>
        <w:tc>
          <w:tcPr>
            <w:tcW w:w="5924"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不得检出</w:t>
            </w:r>
          </w:p>
        </w:tc>
        <w:tc>
          <w:tcPr>
            <w:tcW w:w="295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不得检出</w:t>
            </w:r>
          </w:p>
        </w:tc>
        <w:tc>
          <w:tcPr>
            <w:tcW w:w="153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持平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51" w:type="dxa"/>
            <w:gridSpan w:val="3"/>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使用安全</w:t>
            </w:r>
          </w:p>
        </w:tc>
        <w:tc>
          <w:tcPr>
            <w:tcW w:w="5924"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产品在使用过程中可接触的部位无损害人体的锐角、毛刺、坡口等缺陷 </w:t>
            </w:r>
          </w:p>
        </w:tc>
        <w:tc>
          <w:tcPr>
            <w:tcW w:w="2957"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w:t>
            </w:r>
          </w:p>
        </w:tc>
        <w:tc>
          <w:tcPr>
            <w:tcW w:w="153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51" w:type="dxa"/>
            <w:gridSpan w:val="3"/>
            <w:tcBorders>
              <w:left w:val="single" w:color="auto" w:sz="12" w:space="0"/>
              <w:bottom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牢固度</w:t>
            </w:r>
          </w:p>
        </w:tc>
        <w:tc>
          <w:tcPr>
            <w:tcW w:w="5924" w:type="dxa"/>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产品的扇框和扇柄之间应承受6N的拉力而不发生移位、明显变形或脱离现象</w:t>
            </w:r>
          </w:p>
        </w:tc>
        <w:tc>
          <w:tcPr>
            <w:tcW w:w="2957" w:type="dxa"/>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w:t>
            </w:r>
          </w:p>
        </w:tc>
        <w:tc>
          <w:tcPr>
            <w:tcW w:w="1538" w:type="dxa"/>
            <w:tcBorders>
              <w:bottom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提升</w:t>
            </w:r>
          </w:p>
        </w:tc>
      </w:tr>
    </w:tbl>
    <w:p>
      <w:pPr>
        <w:pStyle w:val="14"/>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b/>
          <w:bCs/>
          <w:sz w:val="24"/>
        </w:rPr>
      </w:pPr>
      <w:r>
        <w:rPr>
          <w:rFonts w:hint="eastAsia" w:ascii="宋体" w:hAnsi="宋体" w:eastAsia="宋体" w:cs="宋体"/>
          <w:b/>
          <w:bCs/>
          <w:sz w:val="24"/>
        </w:rPr>
        <w:t>◆</w:t>
      </w:r>
      <w:r>
        <w:rPr>
          <w:rFonts w:hint="eastAsia" w:ascii="仿宋" w:hAnsi="仿宋" w:eastAsia="仿宋" w:cs="仿宋"/>
          <w:b/>
          <w:bCs/>
          <w:sz w:val="24"/>
        </w:rPr>
        <w:t>由表1分析可见，该标准：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sz w:val="24"/>
          <w:highlight w:val="none"/>
        </w:rPr>
      </w:pPr>
      <w:r>
        <w:rPr>
          <w:rFonts w:hint="eastAsia" w:ascii="仿宋" w:hAnsi="仿宋" w:eastAsia="仿宋" w:cs="仿宋"/>
          <w:b/>
          <w:bCs/>
          <w:sz w:val="24"/>
          <w:highlight w:val="none"/>
        </w:rPr>
        <w:t>提升了“</w:t>
      </w:r>
      <w:r>
        <w:rPr>
          <w:rFonts w:hint="eastAsia" w:ascii="仿宋" w:hAnsi="仿宋" w:eastAsia="仿宋" w:cs="仿宋"/>
          <w:b/>
          <w:bCs/>
          <w:sz w:val="24"/>
          <w:highlight w:val="none"/>
          <w:lang w:val="en-US" w:eastAsia="zh-CN"/>
        </w:rPr>
        <w:t>外观质量</w:t>
      </w:r>
      <w:r>
        <w:rPr>
          <w:rFonts w:hint="eastAsia" w:ascii="仿宋" w:hAnsi="仿宋" w:eastAsia="仿宋" w:cs="仿宋"/>
          <w:b/>
          <w:bCs/>
          <w:sz w:val="24"/>
          <w:highlight w:val="none"/>
        </w:rPr>
        <w:t>”要求：</w:t>
      </w:r>
      <w:r>
        <w:rPr>
          <w:rFonts w:hint="eastAsia" w:ascii="仿宋" w:hAnsi="仿宋" w:eastAsia="仿宋" w:cs="仿宋"/>
          <w:sz w:val="24"/>
          <w:highlight w:val="none"/>
        </w:rPr>
        <w:t>标准</w:t>
      </w:r>
      <w:r>
        <w:rPr>
          <w:rFonts w:hint="eastAsia" w:ascii="仿宋" w:hAnsi="仿宋" w:eastAsia="仿宋" w:cs="仿宋"/>
          <w:sz w:val="24"/>
          <w:highlight w:val="none"/>
          <w:lang w:val="en-US" w:eastAsia="zh-CN"/>
        </w:rPr>
        <w:t>T/ZZB 2607-2021只对</w:t>
      </w:r>
      <w:r>
        <w:rPr>
          <w:rFonts w:hint="eastAsia" w:ascii="仿宋" w:hAnsi="仿宋" w:eastAsia="仿宋" w:cs="仿宋"/>
          <w:sz w:val="24"/>
          <w:highlight w:val="none"/>
        </w:rPr>
        <w:t>于</w:t>
      </w:r>
      <w:r>
        <w:rPr>
          <w:rFonts w:hint="eastAsia" w:ascii="仿宋" w:hAnsi="仿宋" w:eastAsia="仿宋" w:cs="仿宋"/>
          <w:sz w:val="24"/>
          <w:highlight w:val="none"/>
          <w:lang w:val="en-US" w:eastAsia="zh-CN"/>
        </w:rPr>
        <w:t>扇子标准提出要求，为对其他部件质量要求进行规定，而本标准规定了扇面要求的同时，对扇框、扇柄、扇须、沿边条等部件质量要求进行的规定。</w:t>
      </w:r>
      <w:r>
        <w:rPr>
          <w:rFonts w:hint="eastAsia" w:ascii="仿宋" w:hAnsi="仿宋" w:eastAsia="仿宋" w:cs="仿宋"/>
          <w:sz w:val="24"/>
          <w:highlight w:val="none"/>
        </w:rPr>
        <w:t>该浙江制造标准对于</w:t>
      </w:r>
      <w:r>
        <w:rPr>
          <w:rFonts w:hint="eastAsia" w:ascii="仿宋" w:hAnsi="仿宋" w:eastAsia="仿宋" w:cs="仿宋"/>
          <w:sz w:val="24"/>
          <w:highlight w:val="none"/>
          <w:lang w:val="en-US" w:eastAsia="zh-CN"/>
        </w:rPr>
        <w:t>以上</w:t>
      </w:r>
      <w:r>
        <w:rPr>
          <w:rFonts w:hint="eastAsia" w:ascii="仿宋" w:hAnsi="仿宋" w:eastAsia="仿宋" w:cs="仿宋"/>
          <w:sz w:val="24"/>
          <w:highlight w:val="none"/>
        </w:rPr>
        <w:t>核心技术</w:t>
      </w:r>
      <w:r>
        <w:rPr>
          <w:rFonts w:hint="eastAsia" w:ascii="仿宋" w:hAnsi="仿宋" w:eastAsia="仿宋" w:cs="仿宋"/>
          <w:sz w:val="24"/>
          <w:highlight w:val="none"/>
          <w:lang w:val="en-US" w:eastAsia="zh-CN"/>
        </w:rPr>
        <w:t>指标均</w:t>
      </w:r>
      <w:r>
        <w:rPr>
          <w:rFonts w:hint="eastAsia" w:ascii="仿宋" w:hAnsi="仿宋" w:eastAsia="仿宋" w:cs="仿宋"/>
          <w:sz w:val="24"/>
          <w:highlight w:val="none"/>
        </w:rPr>
        <w:t>进行了提升。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highlight w:val="none"/>
          <w:lang w:val="en-US" w:eastAsia="zh-CN"/>
        </w:rPr>
      </w:pPr>
      <w:r>
        <w:rPr>
          <w:rFonts w:hint="eastAsia" w:ascii="仿宋" w:hAnsi="仿宋" w:eastAsia="仿宋" w:cs="仿宋"/>
          <w:b/>
          <w:bCs/>
          <w:sz w:val="24"/>
          <w:highlight w:val="none"/>
        </w:rPr>
        <w:t>提升理由说明：</w:t>
      </w:r>
      <w:r>
        <w:rPr>
          <w:rFonts w:hint="eastAsia" w:ascii="仿宋" w:hAnsi="仿宋" w:eastAsia="仿宋" w:cs="仿宋"/>
          <w:sz w:val="24"/>
          <w:highlight w:val="none"/>
          <w:lang w:val="en-US" w:eastAsia="zh-CN"/>
        </w:rPr>
        <w:t>本标准对产品的部件质量要求进行了提升，因该产品属于工艺品、艺术品，外观质量不只对扇面而言，其他部件的要求对产品整体形象尤为重要，故增加其他部件要求，对其产品整体要求进行提升。</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sz w:val="24"/>
          <w:lang w:val="en-US"/>
        </w:rPr>
      </w:pPr>
      <w:r>
        <w:rPr>
          <w:rFonts w:hint="eastAsia" w:ascii="仿宋" w:hAnsi="仿宋" w:eastAsia="仿宋" w:cs="仿宋"/>
          <w:b/>
          <w:bCs/>
          <w:sz w:val="24"/>
        </w:rPr>
        <w:t>提升了“</w:t>
      </w:r>
      <w:r>
        <w:rPr>
          <w:rFonts w:hint="eastAsia" w:ascii="仿宋" w:hAnsi="仿宋" w:eastAsia="仿宋" w:cs="仿宋"/>
          <w:b/>
          <w:bCs/>
          <w:sz w:val="24"/>
          <w:lang w:val="en-US" w:eastAsia="zh-CN"/>
        </w:rPr>
        <w:t>理化性能</w:t>
      </w:r>
      <w:r>
        <w:rPr>
          <w:rFonts w:hint="eastAsia" w:ascii="仿宋" w:hAnsi="仿宋" w:eastAsia="仿宋" w:cs="仿宋"/>
          <w:b/>
          <w:bCs/>
          <w:sz w:val="24"/>
        </w:rPr>
        <w:t>”要求：</w:t>
      </w:r>
      <w:r>
        <w:rPr>
          <w:rFonts w:hint="eastAsia" w:ascii="仿宋" w:hAnsi="仿宋" w:eastAsia="仿宋" w:cs="仿宋"/>
          <w:sz w:val="24"/>
        </w:rPr>
        <w:t>标准</w:t>
      </w:r>
      <w:r>
        <w:rPr>
          <w:rFonts w:hint="eastAsia" w:ascii="仿宋" w:hAnsi="仿宋" w:eastAsia="仿宋" w:cs="仿宋"/>
          <w:sz w:val="24"/>
          <w:highlight w:val="none"/>
          <w:lang w:val="en-US" w:eastAsia="zh-CN"/>
        </w:rPr>
        <w:t>T/ZZB 2607-2021</w:t>
      </w:r>
      <w:r>
        <w:rPr>
          <w:rFonts w:hint="eastAsia" w:ascii="仿宋" w:hAnsi="仿宋" w:eastAsia="仿宋" w:cs="仿宋"/>
          <w:sz w:val="24"/>
        </w:rPr>
        <w:t>对于</w:t>
      </w:r>
      <w:r>
        <w:rPr>
          <w:rFonts w:hint="eastAsia" w:ascii="仿宋" w:hAnsi="仿宋" w:eastAsia="仿宋" w:cs="仿宋"/>
          <w:sz w:val="24"/>
          <w:lang w:eastAsia="zh-CN"/>
        </w:rPr>
        <w:t>“</w:t>
      </w:r>
      <w:r>
        <w:rPr>
          <w:rFonts w:hint="eastAsia" w:ascii="仿宋" w:hAnsi="仿宋" w:eastAsia="仿宋" w:cs="仿宋"/>
          <w:sz w:val="24"/>
          <w:lang w:val="en-US" w:eastAsia="zh-CN"/>
        </w:rPr>
        <w:t>有害物质元素</w:t>
      </w:r>
      <w:r>
        <w:rPr>
          <w:rFonts w:hint="eastAsia" w:ascii="仿宋" w:hAnsi="仿宋" w:eastAsia="仿宋" w:cs="仿宋"/>
          <w:sz w:val="24"/>
          <w:lang w:eastAsia="zh-CN"/>
        </w:rPr>
        <w:t>”</w:t>
      </w:r>
      <w:r>
        <w:rPr>
          <w:rFonts w:hint="eastAsia" w:ascii="仿宋" w:hAnsi="仿宋" w:eastAsia="仿宋" w:cs="仿宋"/>
          <w:sz w:val="24"/>
          <w:lang w:val="en-US" w:eastAsia="zh-CN"/>
        </w:rPr>
        <w:t>指标未进行规定，只对于“游离甲醛含量”指标进行了规定，</w:t>
      </w:r>
      <w:r>
        <w:rPr>
          <w:rFonts w:hint="eastAsia" w:ascii="仿宋" w:hAnsi="仿宋" w:eastAsia="仿宋" w:cs="仿宋"/>
          <w:sz w:val="24"/>
        </w:rPr>
        <w:t>而该浙江制造标准对于“</w:t>
      </w:r>
      <w:r>
        <w:rPr>
          <w:rFonts w:hint="eastAsia" w:ascii="仿宋" w:hAnsi="仿宋" w:eastAsia="仿宋" w:cs="仿宋"/>
          <w:sz w:val="24"/>
          <w:lang w:val="en-US" w:eastAsia="zh-CN"/>
        </w:rPr>
        <w:t>有害物质元素</w:t>
      </w:r>
      <w:r>
        <w:rPr>
          <w:rFonts w:hint="eastAsia" w:ascii="仿宋" w:hAnsi="仿宋" w:eastAsia="仿宋" w:cs="仿宋"/>
          <w:sz w:val="24"/>
        </w:rPr>
        <w:t>”</w:t>
      </w:r>
      <w:r>
        <w:rPr>
          <w:rFonts w:hint="eastAsia" w:ascii="仿宋" w:hAnsi="仿宋" w:eastAsia="仿宋" w:cs="仿宋"/>
          <w:sz w:val="24"/>
          <w:lang w:val="en-US" w:eastAsia="zh-CN"/>
        </w:rPr>
        <w:t>指标进行目前规定</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highlight w:val="none"/>
          <w:lang w:val="en-US" w:eastAsia="zh-CN"/>
        </w:rPr>
      </w:pPr>
      <w:r>
        <w:rPr>
          <w:rFonts w:hint="eastAsia" w:ascii="仿宋" w:hAnsi="仿宋" w:eastAsia="仿宋" w:cs="仿宋"/>
          <w:b/>
          <w:bCs/>
          <w:sz w:val="24"/>
          <w:highlight w:val="none"/>
        </w:rPr>
        <w:t>提升理由说明：</w:t>
      </w:r>
      <w:r>
        <w:rPr>
          <w:rFonts w:hint="eastAsia" w:ascii="仿宋" w:hAnsi="仿宋" w:eastAsia="仿宋" w:cs="仿宋"/>
          <w:sz w:val="24"/>
          <w:highlight w:val="none"/>
        </w:rPr>
        <w:t>本标准</w:t>
      </w:r>
      <w:r>
        <w:rPr>
          <w:rFonts w:hint="eastAsia" w:ascii="仿宋" w:hAnsi="仿宋" w:eastAsia="仿宋" w:cs="仿宋"/>
          <w:sz w:val="24"/>
          <w:highlight w:val="none"/>
          <w:lang w:val="en-US" w:eastAsia="zh-CN"/>
        </w:rPr>
        <w:t>对</w:t>
      </w:r>
      <w:r>
        <w:rPr>
          <w:rFonts w:hint="eastAsia" w:ascii="仿宋" w:hAnsi="仿宋" w:eastAsia="仿宋" w:cs="仿宋"/>
          <w:sz w:val="24"/>
          <w:lang w:val="en-US" w:eastAsia="zh-CN"/>
        </w:rPr>
        <w:t>有害物质元素指标</w:t>
      </w:r>
      <w:r>
        <w:rPr>
          <w:rFonts w:hint="eastAsia" w:ascii="仿宋" w:hAnsi="仿宋" w:eastAsia="仿宋" w:cs="仿宋"/>
          <w:sz w:val="24"/>
          <w:highlight w:val="none"/>
          <w:lang w:val="en-US" w:eastAsia="zh-CN"/>
        </w:rPr>
        <w:t>进行了提升，因该产品使用过程中将直接接触人体，或是作为艺术品拜访在室内，为确保使用环保安全性，对其产品有害物质元素指标进行提升。</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sz w:val="24"/>
          <w:lang w:val="en-US"/>
        </w:rPr>
      </w:pPr>
      <w:r>
        <w:rPr>
          <w:rFonts w:hint="eastAsia" w:ascii="仿宋" w:hAnsi="仿宋" w:eastAsia="仿宋" w:cs="仿宋"/>
          <w:b/>
          <w:bCs/>
          <w:sz w:val="24"/>
        </w:rPr>
        <w:t>提升了“</w:t>
      </w:r>
      <w:r>
        <w:rPr>
          <w:rFonts w:hint="eastAsia" w:ascii="仿宋" w:hAnsi="仿宋" w:eastAsia="仿宋" w:cs="仿宋"/>
          <w:b/>
          <w:bCs/>
          <w:sz w:val="24"/>
          <w:lang w:val="en-US" w:eastAsia="zh-CN"/>
        </w:rPr>
        <w:t>耐久性</w:t>
      </w:r>
      <w:r>
        <w:rPr>
          <w:rFonts w:hint="eastAsia" w:ascii="仿宋" w:hAnsi="仿宋" w:eastAsia="仿宋" w:cs="仿宋"/>
          <w:b/>
          <w:bCs/>
          <w:sz w:val="24"/>
        </w:rPr>
        <w:t>”要求：</w:t>
      </w:r>
      <w:r>
        <w:rPr>
          <w:rFonts w:hint="eastAsia" w:ascii="仿宋" w:hAnsi="仿宋" w:eastAsia="仿宋" w:cs="仿宋"/>
          <w:sz w:val="24"/>
        </w:rPr>
        <w:t>标准</w:t>
      </w:r>
      <w:r>
        <w:rPr>
          <w:rFonts w:hint="eastAsia" w:ascii="仿宋" w:hAnsi="仿宋" w:eastAsia="仿宋" w:cs="仿宋"/>
          <w:sz w:val="24"/>
          <w:highlight w:val="none"/>
          <w:lang w:val="en-US" w:eastAsia="zh-CN"/>
        </w:rPr>
        <w:t>T/ZZB 2607-2021未对耐久性指标提出要求，本标准</w:t>
      </w:r>
      <w:r>
        <w:rPr>
          <w:rFonts w:hint="eastAsia" w:ascii="仿宋" w:hAnsi="仿宋" w:eastAsia="仿宋" w:cs="仿宋"/>
          <w:sz w:val="24"/>
        </w:rPr>
        <w:t>对</w:t>
      </w:r>
      <w:r>
        <w:rPr>
          <w:rFonts w:hint="eastAsia" w:ascii="仿宋" w:hAnsi="仿宋" w:eastAsia="仿宋" w:cs="仿宋"/>
          <w:sz w:val="24"/>
          <w:lang w:eastAsia="zh-CN"/>
        </w:rPr>
        <w:t>“</w:t>
      </w:r>
      <w:r>
        <w:rPr>
          <w:rFonts w:hint="eastAsia" w:ascii="仿宋" w:hAnsi="仿宋" w:eastAsia="仿宋" w:cs="仿宋"/>
          <w:sz w:val="24"/>
          <w:lang w:val="en-US" w:eastAsia="zh-CN"/>
        </w:rPr>
        <w:t>使用安全</w:t>
      </w:r>
      <w:r>
        <w:rPr>
          <w:rFonts w:hint="eastAsia" w:ascii="仿宋" w:hAnsi="仿宋" w:eastAsia="仿宋" w:cs="仿宋"/>
          <w:sz w:val="24"/>
          <w:lang w:eastAsia="zh-CN"/>
        </w:rPr>
        <w:t>”</w:t>
      </w:r>
      <w:r>
        <w:rPr>
          <w:rFonts w:hint="eastAsia" w:ascii="仿宋" w:hAnsi="仿宋" w:eastAsia="仿宋" w:cs="仿宋"/>
          <w:sz w:val="24"/>
          <w:lang w:val="en-US" w:eastAsia="zh-CN"/>
        </w:rPr>
        <w:t>和“牢固度”指标进行了目前的规定。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rPr>
      </w:pPr>
      <w:r>
        <w:rPr>
          <w:rFonts w:hint="eastAsia" w:ascii="仿宋" w:hAnsi="仿宋" w:eastAsia="仿宋" w:cs="仿宋"/>
          <w:b/>
          <w:bCs/>
          <w:sz w:val="24"/>
          <w:highlight w:val="none"/>
        </w:rPr>
        <w:t>提升理由说明：</w:t>
      </w:r>
      <w:r>
        <w:rPr>
          <w:rFonts w:hint="eastAsia" w:ascii="仿宋" w:hAnsi="仿宋" w:eastAsia="仿宋" w:cs="仿宋"/>
          <w:sz w:val="24"/>
          <w:highlight w:val="none"/>
          <w:lang w:val="en-US" w:eastAsia="zh-CN"/>
        </w:rPr>
        <w:t>虽然本产品基本作为工艺品、艺术品被用户使用，但偶尔也会使用在舞蹈、表演等场所，为确保产品的使用年限及保护用户使用安全，对其产品耐久性指标进行提升。</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sz w:val="24"/>
        </w:rPr>
      </w:pPr>
      <w:r>
        <w:rPr>
          <w:rFonts w:hint="eastAsia" w:ascii="仿宋" w:hAnsi="仿宋" w:eastAsia="仿宋" w:cs="仿宋"/>
          <w:b/>
          <w:bCs/>
          <w:sz w:val="24"/>
        </w:rPr>
        <w:t>5.2  基本要求(型式试验规定技术指标外的产品设计、原材料、关键技术、工艺、设备等方面)、质量承诺等体现“浙江制造”标准“四精”特征的相关先进性的对比情况</w:t>
      </w:r>
    </w:p>
    <w:p>
      <w:pPr>
        <w:pStyle w:val="16"/>
        <w:spacing w:before="0" w:beforeLines="0" w:after="0" w:afterLines="0" w:line="360" w:lineRule="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5.2.1 设计方面</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1）应遵循“实用与审美相统一”的原则，采用团扇独特的一体化成品技术和精细工序，体现舒适 轻便、牢固耐用、美观得体的特点。</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2）应融入文化释义，可采用书画、</w:t>
      </w:r>
      <w:r>
        <w:rPr>
          <w:rFonts w:ascii="仿宋_GB2312" w:hAnsi="宋体" w:eastAsia="仿宋_GB2312"/>
          <w:kern w:val="2"/>
          <w:sz w:val="24"/>
          <w:szCs w:val="24"/>
        </w:rPr>
        <w:t>绣花</w:t>
      </w:r>
      <w:r>
        <w:rPr>
          <w:rFonts w:hint="eastAsia" w:ascii="仿宋_GB2312" w:hAnsi="宋体" w:eastAsia="仿宋_GB2312"/>
          <w:kern w:val="2"/>
          <w:sz w:val="24"/>
          <w:szCs w:val="24"/>
        </w:rPr>
        <w:t>、剪贴等丰富装饰工艺。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3）</w:t>
      </w:r>
      <w:r>
        <w:rPr>
          <w:rFonts w:ascii="仿宋_GB2312" w:hAnsi="宋体" w:eastAsia="仿宋_GB2312"/>
          <w:kern w:val="2"/>
          <w:sz w:val="24"/>
          <w:szCs w:val="24"/>
        </w:rPr>
        <w:t>应具备对个性化订制产品，进行多样化设计的能力。</w:t>
      </w:r>
    </w:p>
    <w:p>
      <w:pPr>
        <w:pStyle w:val="16"/>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4）</w:t>
      </w:r>
      <w:r>
        <w:rPr>
          <w:rFonts w:ascii="仿宋_GB2312" w:hAnsi="宋体" w:eastAsia="仿宋_GB2312"/>
          <w:kern w:val="2"/>
          <w:sz w:val="24"/>
          <w:szCs w:val="24"/>
        </w:rPr>
        <w:t>应</w:t>
      </w:r>
      <w:r>
        <w:rPr>
          <w:rFonts w:hint="eastAsia" w:ascii="仿宋_GB2312" w:hAnsi="宋体" w:eastAsia="仿宋_GB2312"/>
          <w:kern w:val="2"/>
          <w:sz w:val="24"/>
          <w:szCs w:val="24"/>
        </w:rPr>
        <w:t>具备</w:t>
      </w:r>
      <w:r>
        <w:rPr>
          <w:rFonts w:ascii="仿宋_GB2312" w:hAnsi="宋体" w:eastAsia="仿宋_GB2312"/>
          <w:kern w:val="2"/>
          <w:sz w:val="24"/>
          <w:szCs w:val="24"/>
        </w:rPr>
        <w:t>对手工技术人员的培训及技艺的传承</w:t>
      </w:r>
      <w:r>
        <w:rPr>
          <w:rFonts w:hint="eastAsia" w:ascii="仿宋_GB2312" w:hAnsi="宋体" w:eastAsia="仿宋_GB2312"/>
          <w:kern w:val="2"/>
          <w:sz w:val="24"/>
          <w:szCs w:val="24"/>
        </w:rPr>
        <w:t>。</w:t>
      </w:r>
    </w:p>
    <w:p>
      <w:pPr>
        <w:pStyle w:val="16"/>
        <w:spacing w:beforeLines="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5）</w:t>
      </w:r>
      <w:r>
        <w:rPr>
          <w:rFonts w:ascii="仿宋_GB2312" w:hAnsi="宋体" w:eastAsia="仿宋_GB2312"/>
          <w:kern w:val="2"/>
          <w:sz w:val="24"/>
          <w:szCs w:val="24"/>
        </w:rPr>
        <w:t>应具备产品与设计一致性的能力</w:t>
      </w:r>
      <w:r>
        <w:rPr>
          <w:rFonts w:hint="eastAsia" w:ascii="仿宋_GB2312" w:hAnsi="宋体" w:eastAsia="仿宋_GB2312"/>
          <w:kern w:val="2"/>
          <w:sz w:val="24"/>
          <w:szCs w:val="24"/>
        </w:rPr>
        <w:t>。</w:t>
      </w:r>
    </w:p>
    <w:p>
      <w:pPr>
        <w:pStyle w:val="15"/>
        <w:keepNext w:val="0"/>
        <w:keepLines w:val="0"/>
        <w:pageBreakBefore w:val="0"/>
        <w:widowControl/>
        <w:numPr>
          <w:ilvl w:val="1"/>
          <w:numId w:val="0"/>
        </w:numPr>
        <w:tabs>
          <w:tab w:val="left" w:pos="284"/>
          <w:tab w:val="left" w:pos="567"/>
          <w:tab w:val="clear" w:pos="0"/>
        </w:tabs>
        <w:kinsoku/>
        <w:wordWrap/>
        <w:overflowPunct/>
        <w:topLinePunct w:val="0"/>
        <w:autoSpaceDE/>
        <w:autoSpaceDN/>
        <w:bidi w:val="0"/>
        <w:adjustRightInd/>
        <w:snapToGrid/>
        <w:spacing w:beforeLines="0" w:afterLines="0" w:line="360" w:lineRule="auto"/>
        <w:textAlignment w:val="auto"/>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5.2.2 原材料选用方面</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1）扇面纺织面料：有绢(真丝)应符合GB/T 15551—2016中二等品规定的要求；写真布(广告布)应符合FZ/T 64050—2014中Ⅰ类规定的要求；涤纶(仿真丝)应符合FZ/T 43045—2017中二等品规定的要求。</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2）油墨用料应符合QB/T 2930.1、QB/T 2930.2规定的要求。</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3）扇面胶粘剂应符合HG/2727—2010中常年用型规定的要求。</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4）扇框用料：金属件应无锈迹；竹质件应采用5～8年的竹材，去皮；</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5）扇柄用料：木质件应采用原木加工而成；竹质件应采用5～8年生的竹材加工而成。</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6）扇须应符合GB/T 22282规定的要求。</w:t>
      </w:r>
    </w:p>
    <w:p>
      <w:pPr>
        <w:pStyle w:val="15"/>
        <w:keepNext w:val="0"/>
        <w:keepLines w:val="0"/>
        <w:pageBreakBefore w:val="0"/>
        <w:widowControl/>
        <w:numPr>
          <w:ilvl w:val="1"/>
          <w:numId w:val="0"/>
        </w:numPr>
        <w:tabs>
          <w:tab w:val="left" w:pos="284"/>
          <w:tab w:val="left" w:pos="567"/>
          <w:tab w:val="clear" w:pos="0"/>
        </w:tabs>
        <w:kinsoku/>
        <w:wordWrap/>
        <w:overflowPunct/>
        <w:topLinePunct w:val="0"/>
        <w:autoSpaceDE/>
        <w:autoSpaceDN/>
        <w:bidi w:val="0"/>
        <w:adjustRightInd/>
        <w:snapToGrid/>
        <w:spacing w:beforeLines="0" w:afterLines="0" w:line="360" w:lineRule="auto"/>
        <w:textAlignment w:val="auto"/>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5.2.3 主要工艺工装</w:t>
      </w:r>
    </w:p>
    <w:p>
      <w:pPr>
        <w:pStyle w:val="16"/>
        <w:spacing w:before="0" w:beforeLines="0" w:after="0" w:afterLines="0" w:line="360" w:lineRule="auto"/>
        <w:ind w:firstLine="482" w:firstLineChars="200"/>
        <w:rPr>
          <w:rFonts w:ascii="仿宋_GB2312" w:hAnsi="宋体" w:eastAsia="仿宋_GB2312"/>
          <w:b/>
          <w:bCs/>
          <w:kern w:val="2"/>
          <w:sz w:val="24"/>
          <w:szCs w:val="24"/>
        </w:rPr>
      </w:pPr>
      <w:r>
        <w:rPr>
          <w:rFonts w:hint="eastAsia" w:ascii="仿宋_GB2312" w:hAnsi="宋体" w:eastAsia="仿宋_GB2312"/>
          <w:b/>
          <w:bCs/>
          <w:kern w:val="2"/>
          <w:sz w:val="24"/>
          <w:szCs w:val="24"/>
        </w:rPr>
        <w:t>绷面工艺：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1）扇框涂胶工艺要求胶粘剂需要均匀涂抹在框上，不能有滴胶现象出现。</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2）手拉扇面布料对角线分别要成直线绷紧。</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3）扇面沿扇框拉平时需要对称拉平后进行细微调整直至绷好的扇面能平整放在平面上无翘起现象 。</w:t>
      </w:r>
    </w:p>
    <w:p>
      <w:pPr>
        <w:pStyle w:val="16"/>
        <w:spacing w:before="0" w:beforeLines="0" w:after="0" w:afterLines="0" w:line="360" w:lineRule="auto"/>
        <w:ind w:firstLine="482" w:firstLineChars="200"/>
        <w:rPr>
          <w:rFonts w:ascii="仿宋_GB2312" w:hAnsi="宋体" w:eastAsia="仿宋_GB2312"/>
          <w:kern w:val="2"/>
          <w:sz w:val="24"/>
          <w:szCs w:val="24"/>
        </w:rPr>
      </w:pPr>
      <w:r>
        <w:rPr>
          <w:rFonts w:hint="eastAsia" w:ascii="仿宋_GB2312" w:hAnsi="宋体" w:eastAsia="仿宋_GB2312"/>
          <w:b/>
          <w:bCs/>
          <w:kern w:val="2"/>
          <w:sz w:val="24"/>
          <w:szCs w:val="24"/>
        </w:rPr>
        <w:t>沿边工艺：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1）沿边条需要宽度均匀，符合扇框材料周长；长度合适，与外圈长度要求匹配。</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2）胶粘剂要均匀涂抹在沿边条背面用湿布盖住防止水分脱离。</w:t>
      </w:r>
    </w:p>
    <w:p>
      <w:pPr>
        <w:pStyle w:val="16"/>
        <w:spacing w:before="0" w:beforeLines="0" w:after="0" w:afterLines="0" w:line="360" w:lineRule="auto"/>
        <w:ind w:firstLine="482" w:firstLineChars="200"/>
        <w:rPr>
          <w:rFonts w:ascii="仿宋_GB2312" w:hAnsi="宋体" w:eastAsia="仿宋_GB2312"/>
          <w:b/>
          <w:bCs/>
          <w:kern w:val="2"/>
          <w:sz w:val="24"/>
          <w:szCs w:val="24"/>
        </w:rPr>
      </w:pPr>
      <w:r>
        <w:rPr>
          <w:rFonts w:hint="eastAsia" w:ascii="仿宋_GB2312" w:hAnsi="宋体" w:eastAsia="仿宋_GB2312"/>
          <w:b/>
          <w:bCs/>
          <w:kern w:val="2"/>
          <w:sz w:val="24"/>
          <w:szCs w:val="24"/>
        </w:rPr>
        <w:t>插柄工艺：</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1）扇框底部连接处需要对正并完整插入扇柄洞眼位置。</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2）胶粘剂不应接触扇面。</w:t>
      </w:r>
    </w:p>
    <w:p>
      <w:pPr>
        <w:pStyle w:val="16"/>
        <w:spacing w:before="0" w:beforeLines="0" w:after="0" w:afterLines="0" w:line="360" w:lineRule="auto"/>
        <w:ind w:firstLine="482" w:firstLineChars="200"/>
        <w:rPr>
          <w:rFonts w:ascii="仿宋_GB2312" w:hAnsi="宋体" w:eastAsia="仿宋_GB2312"/>
          <w:kern w:val="2"/>
          <w:sz w:val="24"/>
          <w:szCs w:val="24"/>
        </w:rPr>
      </w:pPr>
      <w:r>
        <w:rPr>
          <w:rFonts w:hint="eastAsia" w:ascii="仿宋_GB2312" w:hAnsi="宋体" w:eastAsia="仿宋_GB2312"/>
          <w:b/>
          <w:bCs/>
          <w:kern w:val="2"/>
          <w:sz w:val="24"/>
          <w:szCs w:val="24"/>
        </w:rPr>
        <w:t>主要工装</w:t>
      </w:r>
      <w:r>
        <w:rPr>
          <w:rFonts w:hint="eastAsia" w:ascii="仿宋_GB2312" w:hAnsi="宋体" w:eastAsia="仿宋_GB2312"/>
          <w:kern w:val="2"/>
          <w:sz w:val="24"/>
          <w:szCs w:val="24"/>
        </w:rPr>
        <w:t>：应具备数码打印机、压烫机、激光打标机等自动化设备进行喷印、转印、打标的生产的能力。</w:t>
      </w:r>
    </w:p>
    <w:p>
      <w:pPr>
        <w:pStyle w:val="15"/>
        <w:keepNext w:val="0"/>
        <w:keepLines w:val="0"/>
        <w:pageBreakBefore w:val="0"/>
        <w:widowControl/>
        <w:numPr>
          <w:ilvl w:val="1"/>
          <w:numId w:val="0"/>
        </w:numPr>
        <w:tabs>
          <w:tab w:val="left" w:pos="284"/>
          <w:tab w:val="left" w:pos="567"/>
          <w:tab w:val="clear" w:pos="0"/>
        </w:tabs>
        <w:kinsoku/>
        <w:wordWrap/>
        <w:overflowPunct/>
        <w:topLinePunct w:val="0"/>
        <w:autoSpaceDE/>
        <w:autoSpaceDN/>
        <w:bidi w:val="0"/>
        <w:adjustRightInd/>
        <w:snapToGrid/>
        <w:spacing w:beforeLines="0" w:afterLines="0" w:line="360" w:lineRule="auto"/>
        <w:textAlignment w:val="auto"/>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5.2.4 检验检测</w:t>
      </w:r>
    </w:p>
    <w:p>
      <w:pPr>
        <w:pStyle w:val="16"/>
        <w:spacing w:before="0" w:beforeLines="0" w:after="0" w:afterLines="0" w:line="360" w:lineRule="auto"/>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1）应具备外观质量要求、规格尺寸及允许偏差出厂检验项目的检测能力。</w:t>
      </w:r>
    </w:p>
    <w:p>
      <w:pPr>
        <w:pStyle w:val="16"/>
        <w:spacing w:before="0" w:beforeLines="0" w:after="0" w:afterLines="0" w:line="360" w:lineRule="auto"/>
        <w:ind w:firstLine="480" w:firstLineChars="200"/>
      </w:pPr>
      <w:r>
        <w:rPr>
          <w:rFonts w:hint="eastAsia" w:ascii="仿宋_GB2312" w:hAnsi="宋体" w:eastAsia="仿宋_GB2312"/>
          <w:kern w:val="2"/>
          <w:sz w:val="24"/>
          <w:szCs w:val="24"/>
        </w:rPr>
        <w:t>2）应具备对原材料检验控制的能力。</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rPr>
      </w:pPr>
      <w:r>
        <w:rPr>
          <w:rFonts w:hint="eastAsia" w:ascii="宋体" w:hAnsi="宋体" w:eastAsia="宋体" w:cs="宋体"/>
          <w:b/>
          <w:bCs/>
          <w:sz w:val="24"/>
        </w:rPr>
        <w:t>5.3  标准中能体现“智能制造”、“绿色制造”先进性的内容说明。（若无相关先进性也应说明）。</w:t>
      </w:r>
    </w:p>
    <w:p>
      <w:pPr>
        <w:spacing w:line="360" w:lineRule="auto"/>
        <w:rPr>
          <w:rFonts w:hint="eastAsia" w:ascii="仿宋_GB2312" w:hAnsi="宋体" w:eastAsia="仿宋_GB2312" w:cs="Times New Roman"/>
          <w:sz w:val="24"/>
          <w:lang w:val="en-US" w:eastAsia="zh-CN"/>
        </w:rPr>
      </w:pPr>
      <w:r>
        <w:rPr>
          <w:rFonts w:hint="eastAsia" w:ascii="宋体" w:hAnsi="宋体" w:eastAsia="宋体" w:cs="宋体"/>
          <w:kern w:val="2"/>
          <w:sz w:val="24"/>
          <w:szCs w:val="24"/>
        </w:rPr>
        <w:t xml:space="preserve">5.3.1 </w:t>
      </w:r>
      <w:r>
        <w:rPr>
          <w:rFonts w:hint="eastAsia" w:ascii="仿宋_GB2312" w:hAnsi="宋体" w:eastAsia="仿宋_GB2312" w:cs="Times New Roman"/>
          <w:sz w:val="24"/>
          <w:lang w:val="en-US" w:eastAsia="zh-CN"/>
        </w:rPr>
        <w:t>本标准在制造要求中阐述了加工过程中应基本</w:t>
      </w:r>
      <w:r>
        <w:rPr>
          <w:rFonts w:hint="eastAsia" w:ascii="仿宋_GB2312" w:hAnsi="宋体" w:eastAsia="仿宋_GB2312" w:cs="Times New Roman"/>
          <w:sz w:val="24"/>
        </w:rPr>
        <w:t>数码打印机、压烫机、激光打标机等自动化设备进行喷印、转印、打标的生产的能力</w:t>
      </w:r>
      <w:r>
        <w:rPr>
          <w:rFonts w:hint="eastAsia" w:ascii="仿宋_GB2312" w:hAnsi="宋体" w:eastAsia="仿宋_GB2312" w:cs="Times New Roman"/>
          <w:sz w:val="24"/>
          <w:lang w:val="en-US" w:eastAsia="zh-CN"/>
        </w:rPr>
        <w:t>。</w:t>
      </w:r>
    </w:p>
    <w:p>
      <w:pPr>
        <w:spacing w:line="360" w:lineRule="auto"/>
        <w:rPr>
          <w:rFonts w:hint="default" w:ascii="仿宋_GB2312" w:hAnsi="宋体" w:eastAsia="仿宋_GB2312" w:cs="Times New Roman"/>
          <w:sz w:val="24"/>
          <w:lang w:val="en-US"/>
        </w:rPr>
      </w:pPr>
      <w:r>
        <w:rPr>
          <w:rFonts w:hint="eastAsia" w:ascii="仿宋_GB2312" w:hAnsi="宋体" w:eastAsia="仿宋_GB2312" w:cs="Times New Roman"/>
          <w:sz w:val="24"/>
          <w:lang w:val="en-US" w:eastAsia="zh-CN"/>
        </w:rPr>
        <w:t>5.3.2 本标准对原材料的选用严格按照国家相关标准要求，同时对产品的有害物质元素限量及甲醛释放量等指标进行了明确规定。</w:t>
      </w:r>
    </w:p>
    <w:p>
      <w:pPr>
        <w:pStyle w:val="13"/>
        <w:numPr>
          <w:ilvl w:val="0"/>
          <w:numId w:val="0"/>
        </w:numPr>
        <w:spacing w:before="312" w:after="312"/>
        <w:jc w:val="left"/>
        <w:rPr>
          <w:rFonts w:hAnsi="黑体"/>
          <w:sz w:val="24"/>
          <w:szCs w:val="24"/>
        </w:rPr>
      </w:pPr>
      <w:r>
        <w:rPr>
          <w:rFonts w:hint="eastAsia" w:hAnsi="黑体"/>
          <w:sz w:val="24"/>
          <w:szCs w:val="24"/>
        </w:rPr>
        <w:t>6  与现行相关法律、法规、规章及相关标准的协调性</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标准的制定符合国家有关的现行法律、法规和强制性标准的要求，与国家现行的环境保护政策、法规相辅相成。本标准的制定充分体现“浙江制造”标准“国内一流、国际先进”的定位，标准具有先进性，未有低于国标、行标和地方标准的情况。</w:t>
      </w:r>
    </w:p>
    <w:p>
      <w:pPr>
        <w:spacing w:line="500" w:lineRule="exact"/>
        <w:rPr>
          <w:rFonts w:ascii="黑体" w:hAnsi="黑体" w:eastAsia="黑体"/>
          <w:kern w:val="0"/>
          <w:sz w:val="24"/>
        </w:rPr>
      </w:pPr>
      <w:r>
        <w:rPr>
          <w:rFonts w:hint="eastAsia" w:ascii="黑体" w:hAnsi="黑体" w:eastAsia="黑体"/>
          <w:kern w:val="0"/>
          <w:sz w:val="24"/>
        </w:rPr>
        <w:t>6.1  目前国内主要执行的标准有：</w:t>
      </w:r>
    </w:p>
    <w:p>
      <w:pPr>
        <w:pStyle w:val="13"/>
        <w:numPr>
          <w:ilvl w:val="0"/>
          <w:numId w:val="0"/>
        </w:numPr>
        <w:spacing w:before="156" w:beforeLines="50" w:after="156" w:afterLines="50"/>
        <w:jc w:val="left"/>
        <w:rPr>
          <w:rFonts w:hAnsi="黑体"/>
          <w:sz w:val="24"/>
          <w:szCs w:val="24"/>
        </w:rPr>
      </w:pPr>
      <w:r>
        <w:rPr>
          <w:rFonts w:hint="eastAsia" w:hAnsi="黑体"/>
          <w:sz w:val="24"/>
          <w:szCs w:val="24"/>
        </w:rPr>
        <w:t>6.1 标准与有关强制性标准相冲突情况。</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的制定符合国家有关的现行法律、法规和强制性标准的要求，与国家现行的环境保护政策、法规相辅相成。本标准的制定充分体现“浙江制造”标准“国内一流、国际先进”的定位，标准具有先进性，未有低于国标、行标和地方标准的情况。</w:t>
      </w:r>
    </w:p>
    <w:p>
      <w:pPr>
        <w:pStyle w:val="13"/>
        <w:numPr>
          <w:ilvl w:val="0"/>
          <w:numId w:val="0"/>
        </w:numPr>
        <w:spacing w:before="156" w:beforeLines="50" w:after="156" w:afterLines="50"/>
        <w:jc w:val="left"/>
        <w:rPr>
          <w:rFonts w:hAnsi="黑体"/>
          <w:sz w:val="24"/>
          <w:szCs w:val="24"/>
        </w:rPr>
      </w:pPr>
      <w:r>
        <w:rPr>
          <w:rFonts w:hint="eastAsia" w:hAnsi="黑体"/>
          <w:sz w:val="24"/>
          <w:szCs w:val="24"/>
        </w:rPr>
        <w:t>6.2 目前国内主要执行的标准有：</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目前国内无相关行业标准。</w:t>
      </w:r>
    </w:p>
    <w:p>
      <w:pPr>
        <w:pStyle w:val="13"/>
        <w:numPr>
          <w:ilvl w:val="0"/>
          <w:numId w:val="0"/>
        </w:numPr>
        <w:spacing w:before="156" w:beforeLines="50" w:after="156" w:afterLines="50"/>
        <w:jc w:val="left"/>
        <w:rPr>
          <w:rFonts w:hAnsi="黑体"/>
          <w:sz w:val="24"/>
          <w:szCs w:val="24"/>
        </w:rPr>
      </w:pPr>
      <w:r>
        <w:rPr>
          <w:rFonts w:hint="eastAsia" w:hAnsi="黑体"/>
          <w:sz w:val="24"/>
          <w:szCs w:val="24"/>
        </w:rPr>
        <w:t>6.3 本标准引用了以下文件：</w:t>
      </w:r>
    </w:p>
    <w:p>
      <w:pPr>
        <w:pStyle w:val="4"/>
        <w:spacing w:after="0" w:line="360" w:lineRule="auto"/>
        <w:ind w:firstLine="480" w:firstLineChars="200"/>
        <w:rPr>
          <w:rFonts w:ascii="仿宋_GB2312" w:hAnsi="宋体" w:eastAsia="仿宋_GB2312"/>
          <w:sz w:val="24"/>
        </w:rPr>
      </w:pPr>
      <w:r>
        <w:rPr>
          <w:rFonts w:hint="eastAsia" w:ascii="仿宋_GB2312" w:hAnsi="宋体" w:eastAsia="仿宋_GB2312"/>
          <w:sz w:val="24"/>
        </w:rPr>
        <w:t>下列文件对于本文件的应用是必不可少的。凡是注日期的引用文件，仅所注日期的版本适用于本文件。凡是不注日期的引用文件，其最新版本（包括所有的修改单）适用于本文件。</w:t>
      </w:r>
    </w:p>
    <w:p>
      <w:pPr>
        <w:pStyle w:val="4"/>
        <w:spacing w:after="0" w:line="360" w:lineRule="auto"/>
        <w:ind w:firstLine="480" w:firstLineChars="200"/>
        <w:rPr>
          <w:rFonts w:ascii="仿宋_GB2312" w:hAnsi="宋体" w:eastAsia="仿宋_GB2312"/>
          <w:sz w:val="24"/>
        </w:rPr>
      </w:pPr>
      <w:r>
        <w:rPr>
          <w:rFonts w:hint="eastAsia" w:ascii="仿宋_GB2312" w:hAnsi="宋体" w:eastAsia="仿宋_GB2312"/>
          <w:sz w:val="24"/>
        </w:rPr>
        <w:t>GB/T 191 包装储运图示标志</w:t>
      </w:r>
    </w:p>
    <w:p>
      <w:pPr>
        <w:pStyle w:val="4"/>
        <w:spacing w:after="0" w:line="360" w:lineRule="auto"/>
        <w:ind w:firstLine="480" w:firstLineChars="200"/>
        <w:rPr>
          <w:rFonts w:ascii="仿宋_GB2312" w:hAnsi="宋体" w:eastAsia="仿宋_GB2312"/>
          <w:sz w:val="24"/>
        </w:rPr>
      </w:pPr>
      <w:r>
        <w:rPr>
          <w:rFonts w:hint="eastAsia" w:ascii="仿宋_GB2312" w:hAnsi="宋体" w:eastAsia="仿宋_GB2312"/>
          <w:sz w:val="24"/>
        </w:rPr>
        <w:t>GB/T 2912.1 纺织品 甲醛的测定 第 1 部分:游离和水解的甲醛(水萃取法)</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GB/T 1927.4 无疵小试样物理力学性质试验方法 第4部分：含水率测定</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GB/T 15551—2016 桑蚕丝织物</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GB/T 17657—2013 人造板及饰面人造板理化性能试验方法</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GB/T 22282 纺织纤维中有毒有害物质的限量</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 xml:space="preserve">GB 28480 饰品 有害元素限量的规定 </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QB/T 2930.1 油墨中某些有害元素的限量及其测定方法 第1部分：可溶性元素</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QB/T 2930.2 油墨中某些有害元素的限量及其测定方法 第2部分：铅，汞，镉，六价铬</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HG/2727—2010 聚乙酸乙烯酯乳液木材胶黏剂</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FZ/T 64050—2014 柔性灯箱广告喷绘布</w:t>
      </w:r>
    </w:p>
    <w:p>
      <w:pPr>
        <w:pStyle w:val="4"/>
        <w:spacing w:after="0" w:line="360" w:lineRule="auto"/>
        <w:ind w:firstLine="480" w:firstLineChars="200"/>
        <w:rPr>
          <w:rFonts w:ascii="仿宋_GB2312" w:hAnsi="宋体" w:eastAsia="仿宋_GB2312"/>
          <w:sz w:val="24"/>
        </w:rPr>
      </w:pPr>
      <w:r>
        <w:rPr>
          <w:rFonts w:ascii="仿宋_GB2312" w:hAnsi="宋体" w:eastAsia="仿宋_GB2312"/>
          <w:sz w:val="24"/>
        </w:rPr>
        <w:t>FZ/T 43045—2017 涤纶长丝仿真丝织物</w:t>
      </w:r>
    </w:p>
    <w:p>
      <w:pPr>
        <w:pStyle w:val="13"/>
        <w:numPr>
          <w:ilvl w:val="0"/>
          <w:numId w:val="0"/>
        </w:numPr>
        <w:spacing w:before="312" w:after="312"/>
        <w:jc w:val="left"/>
        <w:rPr>
          <w:rFonts w:hAnsi="黑体"/>
          <w:sz w:val="24"/>
          <w:szCs w:val="24"/>
        </w:rPr>
      </w:pPr>
      <w:r>
        <w:rPr>
          <w:rFonts w:hint="eastAsia" w:hAnsi="黑体"/>
          <w:sz w:val="24"/>
          <w:szCs w:val="24"/>
        </w:rPr>
        <w:t>7  社会效益</w:t>
      </w:r>
    </w:p>
    <w:p>
      <w:pPr>
        <w:pStyle w:val="13"/>
        <w:numPr>
          <w:ilvl w:val="0"/>
          <w:numId w:val="0"/>
        </w:numPr>
        <w:spacing w:before="312" w:after="312" w:line="360" w:lineRule="auto"/>
        <w:ind w:firstLine="480" w:firstLineChars="200"/>
        <w:jc w:val="left"/>
        <w:rPr>
          <w:rFonts w:ascii="仿宋_GB2312" w:hAnsi="宋体" w:eastAsia="仿宋_GB2312"/>
          <w:kern w:val="2"/>
          <w:sz w:val="24"/>
          <w:szCs w:val="24"/>
        </w:rPr>
      </w:pPr>
      <w:r>
        <w:rPr>
          <w:rFonts w:hint="eastAsia" w:ascii="仿宋_GB2312" w:hAnsi="宋体" w:eastAsia="仿宋_GB2312"/>
          <w:kern w:val="2"/>
          <w:sz w:val="24"/>
          <w:szCs w:val="24"/>
        </w:rPr>
        <w:t>《团扇》标准的提出，有效保护和传承了非物质文化，同时提供了质量把控依据，消费者权益得到了保障。</w:t>
      </w:r>
    </w:p>
    <w:p>
      <w:pPr>
        <w:pStyle w:val="13"/>
        <w:numPr>
          <w:ilvl w:val="0"/>
          <w:numId w:val="0"/>
        </w:numPr>
        <w:spacing w:before="312" w:after="312"/>
        <w:jc w:val="left"/>
        <w:rPr>
          <w:rFonts w:hAnsi="黑体"/>
          <w:sz w:val="24"/>
          <w:szCs w:val="24"/>
        </w:rPr>
      </w:pPr>
      <w:r>
        <w:rPr>
          <w:rFonts w:hint="eastAsia" w:hAnsi="黑体"/>
          <w:sz w:val="24"/>
          <w:szCs w:val="24"/>
        </w:rPr>
        <w:t>8  重大分歧意见的处理经过和依据</w:t>
      </w:r>
    </w:p>
    <w:p>
      <w:pPr>
        <w:spacing w:line="500" w:lineRule="exact"/>
        <w:ind w:firstLine="465"/>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3"/>
        <w:numPr>
          <w:ilvl w:val="0"/>
          <w:numId w:val="0"/>
        </w:numPr>
        <w:spacing w:before="312" w:after="312"/>
        <w:jc w:val="left"/>
        <w:rPr>
          <w:rFonts w:hAnsi="黑体"/>
          <w:sz w:val="24"/>
          <w:szCs w:val="24"/>
        </w:rPr>
      </w:pPr>
      <w:r>
        <w:rPr>
          <w:rFonts w:hint="eastAsia" w:hAnsi="黑体"/>
          <w:sz w:val="24"/>
          <w:szCs w:val="24"/>
        </w:rPr>
        <w:t>9  废止现行相关标准的建议</w:t>
      </w:r>
    </w:p>
    <w:p>
      <w:pPr>
        <w:spacing w:line="500" w:lineRule="exact"/>
        <w:ind w:firstLine="360" w:firstLineChars="150"/>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3"/>
        <w:numPr>
          <w:ilvl w:val="0"/>
          <w:numId w:val="0"/>
        </w:numPr>
        <w:spacing w:before="312" w:after="312"/>
        <w:jc w:val="left"/>
        <w:rPr>
          <w:rFonts w:hAnsi="黑体"/>
          <w:sz w:val="24"/>
          <w:szCs w:val="24"/>
        </w:rPr>
      </w:pPr>
      <w:r>
        <w:rPr>
          <w:rFonts w:hint="eastAsia" w:hAnsi="黑体"/>
          <w:sz w:val="24"/>
          <w:szCs w:val="24"/>
        </w:rPr>
        <w:t>10  提出标准强制实施或推荐实施的建议和理由</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本标准为浙江省品牌建设联合会团体标准。</w:t>
      </w:r>
    </w:p>
    <w:p>
      <w:pPr>
        <w:pStyle w:val="13"/>
        <w:numPr>
          <w:ilvl w:val="0"/>
          <w:numId w:val="0"/>
        </w:numPr>
        <w:spacing w:before="312" w:after="312"/>
        <w:jc w:val="left"/>
        <w:rPr>
          <w:rFonts w:hAnsi="黑体"/>
          <w:sz w:val="24"/>
          <w:szCs w:val="24"/>
        </w:rPr>
      </w:pPr>
      <w:r>
        <w:rPr>
          <w:rFonts w:hint="eastAsia" w:hAnsi="黑体"/>
          <w:sz w:val="24"/>
          <w:szCs w:val="24"/>
        </w:rPr>
        <w:t>11  贯彻标准的要求和措施建议</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已批准发布的“浙江制造”标准，文本由浙江省品牌建设联合会在官方网站（http://www.zhejiangmade.org.cn/）上全文公布，供社会免费查阅。</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标准主要起草单位将在全国团体标准信息平台（http://www.ttbz.org.cn/）上自我声明采用本标准，其他采用本标准的单位也应在信息平台上进行自我声明。</w:t>
      </w:r>
    </w:p>
    <w:p>
      <w:pPr>
        <w:pStyle w:val="13"/>
        <w:numPr>
          <w:ilvl w:val="0"/>
          <w:numId w:val="0"/>
        </w:numPr>
        <w:spacing w:before="312" w:after="312"/>
        <w:jc w:val="left"/>
        <w:rPr>
          <w:rFonts w:hAnsi="黑体"/>
          <w:sz w:val="24"/>
          <w:szCs w:val="24"/>
        </w:rPr>
      </w:pPr>
      <w:r>
        <w:rPr>
          <w:rFonts w:hint="eastAsia" w:hAnsi="黑体"/>
          <w:sz w:val="24"/>
          <w:szCs w:val="24"/>
        </w:rPr>
        <w:t>12  其他应予说明的事项</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标准中无相关涉及专利的说明。</w:t>
      </w:r>
    </w:p>
    <w:p>
      <w:pPr>
        <w:spacing w:line="500" w:lineRule="exact"/>
        <w:ind w:firstLine="480"/>
        <w:rPr>
          <w:rFonts w:ascii="仿宋_GB2312" w:eastAsia="仿宋_GB2312"/>
          <w:sz w:val="24"/>
        </w:rPr>
      </w:pPr>
    </w:p>
    <w:p>
      <w:pPr>
        <w:tabs>
          <w:tab w:val="left" w:pos="2160"/>
        </w:tabs>
        <w:spacing w:line="360" w:lineRule="auto"/>
        <w:ind w:firstLine="480" w:firstLineChars="200"/>
        <w:jc w:val="right"/>
        <w:rPr>
          <w:rFonts w:ascii="仿宋_GB2312" w:hAnsi="宋体" w:eastAsia="仿宋_GB2312"/>
          <w:sz w:val="24"/>
        </w:rPr>
      </w:pPr>
      <w:r>
        <w:rPr>
          <w:rFonts w:hint="eastAsia" w:ascii="仿宋_GB2312" w:hAnsi="宋体" w:eastAsia="仿宋_GB2312"/>
          <w:sz w:val="24"/>
        </w:rPr>
        <w:t>《团扇》标准研制工作组</w:t>
      </w:r>
    </w:p>
    <w:p>
      <w:pPr>
        <w:tabs>
          <w:tab w:val="left" w:pos="2160"/>
        </w:tabs>
        <w:spacing w:line="360" w:lineRule="auto"/>
        <w:ind w:firstLine="480" w:firstLineChars="200"/>
        <w:jc w:val="right"/>
        <w:rPr>
          <w:rFonts w:ascii="仿宋_GB2312" w:hAnsi="宋体" w:eastAsia="仿宋_GB2312"/>
          <w:color w:val="0000FF"/>
          <w:sz w:val="24"/>
        </w:rPr>
      </w:pPr>
      <w:r>
        <w:rPr>
          <w:rFonts w:hint="eastAsia" w:ascii="仿宋_GB2312" w:hAnsi="宋体" w:eastAsia="仿宋_GB2312"/>
          <w:sz w:val="24"/>
        </w:rPr>
        <w:t>2022年10月</w:t>
      </w:r>
      <w:r>
        <w:rPr>
          <w:rFonts w:hint="eastAsia" w:ascii="仿宋_GB2312" w:hAnsi="宋体" w:eastAsia="仿宋_GB2312"/>
          <w:sz w:val="24"/>
          <w:lang w:val="en-US" w:eastAsia="zh-CN"/>
        </w:rPr>
        <w:t>16</w:t>
      </w:r>
      <w:r>
        <w:rPr>
          <w:rFonts w:hint="eastAsia" w:ascii="仿宋_GB2312" w:hAnsi="宋体" w:eastAsia="仿宋_GB2312"/>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TimesNewRomanPSMT">
    <w:altName w:val="Times New Roman"/>
    <w:panose1 w:val="00000000000000000000"/>
    <w:charset w:val="00"/>
    <w:family w:val="auto"/>
    <w:pitch w:val="default"/>
    <w:sig w:usb0="00000000" w:usb1="00000000" w:usb2="00000000" w:usb3="00000000" w:csb0="00000000"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922129"/>
    </w:sdtPr>
    <w:sdtContent>
      <w:p>
        <w:pPr>
          <w:pStyle w:val="6"/>
          <w:jc w:val="center"/>
        </w:pPr>
        <w:r>
          <w:fldChar w:fldCharType="begin"/>
        </w:r>
        <w:r>
          <w:instrText xml:space="preserve">PAGE   \* MERGEFORMAT</w:instrText>
        </w:r>
        <w:r>
          <w:fldChar w:fldCharType="separate"/>
        </w:r>
        <w:r>
          <w:rPr>
            <w:lang w:val="zh-CN"/>
          </w:rPr>
          <w:t>15</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9171DE"/>
    <w:multiLevelType w:val="singleLevel"/>
    <w:tmpl w:val="DE9171DE"/>
    <w:lvl w:ilvl="0" w:tentative="0">
      <w:start w:val="1"/>
      <w:numFmt w:val="decimal"/>
      <w:suff w:val="nothing"/>
      <w:lvlText w:val="%1）"/>
      <w:lvlJc w:val="left"/>
    </w:lvl>
  </w:abstractNum>
  <w:abstractNum w:abstractNumId="1">
    <w:nsid w:val="EB4BDA8A"/>
    <w:multiLevelType w:val="singleLevel"/>
    <w:tmpl w:val="EB4BDA8A"/>
    <w:lvl w:ilvl="0" w:tentative="0">
      <w:start w:val="1"/>
      <w:numFmt w:val="upperLetter"/>
      <w:pStyle w:val="13"/>
      <w:lvlText w:val="%1."/>
      <w:lvlJc w:val="left"/>
      <w:pPr>
        <w:tabs>
          <w:tab w:val="left" w:pos="0"/>
        </w:tabs>
        <w:ind w:left="454" w:hanging="454"/>
      </w:pPr>
    </w:lvl>
  </w:abstractNum>
  <w:abstractNum w:abstractNumId="2">
    <w:nsid w:val="3FEEFF32"/>
    <w:multiLevelType w:val="singleLevel"/>
    <w:tmpl w:val="3FEEFF32"/>
    <w:lvl w:ilvl="0" w:tentative="0">
      <w:start w:val="1"/>
      <w:numFmt w:val="bullet"/>
      <w:lvlText w:val=""/>
      <w:lvlJc w:val="left"/>
      <w:pPr>
        <w:ind w:left="420" w:hanging="420"/>
      </w:pPr>
      <w:rPr>
        <w:rFonts w:hint="default" w:ascii="Wingdings" w:hAnsi="Wingdings"/>
      </w:rPr>
    </w:lvl>
  </w:abstractNum>
  <w:abstractNum w:abstractNumId="3">
    <w:nsid w:val="49E15960"/>
    <w:multiLevelType w:val="multilevel"/>
    <w:tmpl w:val="49E15960"/>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3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lvlOverride w:ilvl="0">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YmVmYzhhZTdkOTUyMGM3NGZjNTYxNmRiYTY0MjQifQ=="/>
  </w:docVars>
  <w:rsids>
    <w:rsidRoot w:val="00962048"/>
    <w:rsid w:val="00003138"/>
    <w:rsid w:val="00007B5B"/>
    <w:rsid w:val="000135F6"/>
    <w:rsid w:val="00033221"/>
    <w:rsid w:val="000505FC"/>
    <w:rsid w:val="00061E80"/>
    <w:rsid w:val="0007428F"/>
    <w:rsid w:val="00080507"/>
    <w:rsid w:val="00080B56"/>
    <w:rsid w:val="00087D09"/>
    <w:rsid w:val="000A5DE0"/>
    <w:rsid w:val="000C3551"/>
    <w:rsid w:val="000C4ECD"/>
    <w:rsid w:val="000F0F1A"/>
    <w:rsid w:val="000F2292"/>
    <w:rsid w:val="000F53DA"/>
    <w:rsid w:val="00117346"/>
    <w:rsid w:val="00134CAA"/>
    <w:rsid w:val="00146F44"/>
    <w:rsid w:val="00180F48"/>
    <w:rsid w:val="00193CD1"/>
    <w:rsid w:val="001A664D"/>
    <w:rsid w:val="001B2F93"/>
    <w:rsid w:val="001C2D79"/>
    <w:rsid w:val="001C324A"/>
    <w:rsid w:val="001D097C"/>
    <w:rsid w:val="001F7672"/>
    <w:rsid w:val="0020582D"/>
    <w:rsid w:val="00220E70"/>
    <w:rsid w:val="00237D01"/>
    <w:rsid w:val="002505F4"/>
    <w:rsid w:val="00295814"/>
    <w:rsid w:val="0029621C"/>
    <w:rsid w:val="00297C1C"/>
    <w:rsid w:val="002F17D7"/>
    <w:rsid w:val="003261F2"/>
    <w:rsid w:val="0033508B"/>
    <w:rsid w:val="00344F25"/>
    <w:rsid w:val="00345237"/>
    <w:rsid w:val="00347AEB"/>
    <w:rsid w:val="00350763"/>
    <w:rsid w:val="003526ED"/>
    <w:rsid w:val="00363015"/>
    <w:rsid w:val="0037430D"/>
    <w:rsid w:val="00396354"/>
    <w:rsid w:val="003D4B0D"/>
    <w:rsid w:val="003E6E77"/>
    <w:rsid w:val="003F7301"/>
    <w:rsid w:val="00400930"/>
    <w:rsid w:val="00403D5A"/>
    <w:rsid w:val="0041289D"/>
    <w:rsid w:val="00426B58"/>
    <w:rsid w:val="00466412"/>
    <w:rsid w:val="004676A9"/>
    <w:rsid w:val="004742A6"/>
    <w:rsid w:val="004916D8"/>
    <w:rsid w:val="004A4D58"/>
    <w:rsid w:val="004B654C"/>
    <w:rsid w:val="004D4881"/>
    <w:rsid w:val="004E07D9"/>
    <w:rsid w:val="004F085C"/>
    <w:rsid w:val="0051003A"/>
    <w:rsid w:val="005310D6"/>
    <w:rsid w:val="00554FF0"/>
    <w:rsid w:val="00557014"/>
    <w:rsid w:val="00563BA8"/>
    <w:rsid w:val="0058242A"/>
    <w:rsid w:val="005859B5"/>
    <w:rsid w:val="00614EA8"/>
    <w:rsid w:val="006216DE"/>
    <w:rsid w:val="006243F2"/>
    <w:rsid w:val="00653787"/>
    <w:rsid w:val="006D01D3"/>
    <w:rsid w:val="006D6E26"/>
    <w:rsid w:val="006E48DF"/>
    <w:rsid w:val="00712007"/>
    <w:rsid w:val="00724B02"/>
    <w:rsid w:val="00735E53"/>
    <w:rsid w:val="0076613F"/>
    <w:rsid w:val="007812DF"/>
    <w:rsid w:val="00796B3D"/>
    <w:rsid w:val="00797DE9"/>
    <w:rsid w:val="007B3623"/>
    <w:rsid w:val="007E58B0"/>
    <w:rsid w:val="007E5F33"/>
    <w:rsid w:val="008017F6"/>
    <w:rsid w:val="00810FCE"/>
    <w:rsid w:val="00812434"/>
    <w:rsid w:val="00831C78"/>
    <w:rsid w:val="008326AC"/>
    <w:rsid w:val="0083408A"/>
    <w:rsid w:val="00837A03"/>
    <w:rsid w:val="00876D49"/>
    <w:rsid w:val="00880DB3"/>
    <w:rsid w:val="00883AFA"/>
    <w:rsid w:val="008854C2"/>
    <w:rsid w:val="008967BB"/>
    <w:rsid w:val="00896974"/>
    <w:rsid w:val="008C47C8"/>
    <w:rsid w:val="00920A27"/>
    <w:rsid w:val="009216FA"/>
    <w:rsid w:val="00922810"/>
    <w:rsid w:val="00934654"/>
    <w:rsid w:val="009420A3"/>
    <w:rsid w:val="00942694"/>
    <w:rsid w:val="009443CB"/>
    <w:rsid w:val="00962048"/>
    <w:rsid w:val="009624E1"/>
    <w:rsid w:val="009634F8"/>
    <w:rsid w:val="00983FE0"/>
    <w:rsid w:val="009B5F0C"/>
    <w:rsid w:val="009B6ACB"/>
    <w:rsid w:val="009D3388"/>
    <w:rsid w:val="009E70F5"/>
    <w:rsid w:val="009F46E8"/>
    <w:rsid w:val="009F5129"/>
    <w:rsid w:val="00A07F30"/>
    <w:rsid w:val="00A17B9A"/>
    <w:rsid w:val="00A3535A"/>
    <w:rsid w:val="00A45383"/>
    <w:rsid w:val="00A539A9"/>
    <w:rsid w:val="00A55665"/>
    <w:rsid w:val="00A60BE5"/>
    <w:rsid w:val="00A85F64"/>
    <w:rsid w:val="00A9326A"/>
    <w:rsid w:val="00AA0BEB"/>
    <w:rsid w:val="00AA5A27"/>
    <w:rsid w:val="00AC3CBD"/>
    <w:rsid w:val="00AD3C57"/>
    <w:rsid w:val="00AF3A83"/>
    <w:rsid w:val="00AF666C"/>
    <w:rsid w:val="00B00D4C"/>
    <w:rsid w:val="00B06C1F"/>
    <w:rsid w:val="00B16AC5"/>
    <w:rsid w:val="00B3574A"/>
    <w:rsid w:val="00B4170F"/>
    <w:rsid w:val="00B44B54"/>
    <w:rsid w:val="00B549FB"/>
    <w:rsid w:val="00B62451"/>
    <w:rsid w:val="00B771CB"/>
    <w:rsid w:val="00B82961"/>
    <w:rsid w:val="00B87634"/>
    <w:rsid w:val="00B922D9"/>
    <w:rsid w:val="00BA7D7D"/>
    <w:rsid w:val="00BC1016"/>
    <w:rsid w:val="00BD74FA"/>
    <w:rsid w:val="00BE3E4A"/>
    <w:rsid w:val="00BF7804"/>
    <w:rsid w:val="00C02B79"/>
    <w:rsid w:val="00C118BE"/>
    <w:rsid w:val="00C24D51"/>
    <w:rsid w:val="00C30FAF"/>
    <w:rsid w:val="00C31BC9"/>
    <w:rsid w:val="00C44FEF"/>
    <w:rsid w:val="00C70872"/>
    <w:rsid w:val="00CA7ED7"/>
    <w:rsid w:val="00D36571"/>
    <w:rsid w:val="00D82237"/>
    <w:rsid w:val="00D93FF4"/>
    <w:rsid w:val="00D94A76"/>
    <w:rsid w:val="00DC4E8C"/>
    <w:rsid w:val="00DE3E81"/>
    <w:rsid w:val="00DE47A2"/>
    <w:rsid w:val="00DE62F1"/>
    <w:rsid w:val="00DF11CA"/>
    <w:rsid w:val="00DF2ABE"/>
    <w:rsid w:val="00E01814"/>
    <w:rsid w:val="00E30957"/>
    <w:rsid w:val="00E540DF"/>
    <w:rsid w:val="00E676BD"/>
    <w:rsid w:val="00EA612F"/>
    <w:rsid w:val="00EB5BC6"/>
    <w:rsid w:val="00EB6D80"/>
    <w:rsid w:val="00EC2F29"/>
    <w:rsid w:val="00ED40B5"/>
    <w:rsid w:val="00ED4767"/>
    <w:rsid w:val="00F36343"/>
    <w:rsid w:val="00F46127"/>
    <w:rsid w:val="00F512C8"/>
    <w:rsid w:val="00F51808"/>
    <w:rsid w:val="00F6247A"/>
    <w:rsid w:val="00F74E3C"/>
    <w:rsid w:val="00FA251A"/>
    <w:rsid w:val="00FA397E"/>
    <w:rsid w:val="00FA4217"/>
    <w:rsid w:val="00FA7439"/>
    <w:rsid w:val="00FB371E"/>
    <w:rsid w:val="00FC3A9C"/>
    <w:rsid w:val="00FF7A2F"/>
    <w:rsid w:val="010801F2"/>
    <w:rsid w:val="012F5520"/>
    <w:rsid w:val="01301C2F"/>
    <w:rsid w:val="01A9669A"/>
    <w:rsid w:val="02157599"/>
    <w:rsid w:val="02A406DB"/>
    <w:rsid w:val="02AD1871"/>
    <w:rsid w:val="02BD75DA"/>
    <w:rsid w:val="03653EFA"/>
    <w:rsid w:val="039468C2"/>
    <w:rsid w:val="04243DB5"/>
    <w:rsid w:val="042E253E"/>
    <w:rsid w:val="04A44EF6"/>
    <w:rsid w:val="04F87495"/>
    <w:rsid w:val="05853FDE"/>
    <w:rsid w:val="068E5516"/>
    <w:rsid w:val="06A0349B"/>
    <w:rsid w:val="06D849E3"/>
    <w:rsid w:val="0764762E"/>
    <w:rsid w:val="07A54CCF"/>
    <w:rsid w:val="07E31891"/>
    <w:rsid w:val="080041F1"/>
    <w:rsid w:val="085A237C"/>
    <w:rsid w:val="09AD29F2"/>
    <w:rsid w:val="09CE02DA"/>
    <w:rsid w:val="0AF83663"/>
    <w:rsid w:val="0B0E131B"/>
    <w:rsid w:val="0BAD643E"/>
    <w:rsid w:val="0BE82A51"/>
    <w:rsid w:val="0C0D5884"/>
    <w:rsid w:val="0C76068C"/>
    <w:rsid w:val="0CF97A1F"/>
    <w:rsid w:val="0D837D9E"/>
    <w:rsid w:val="0DBA3D76"/>
    <w:rsid w:val="0E1E5C26"/>
    <w:rsid w:val="0E4D4AA5"/>
    <w:rsid w:val="101F18D4"/>
    <w:rsid w:val="10B82FC8"/>
    <w:rsid w:val="10C319B6"/>
    <w:rsid w:val="112C0B5F"/>
    <w:rsid w:val="118B7221"/>
    <w:rsid w:val="11E921B0"/>
    <w:rsid w:val="122F7C2C"/>
    <w:rsid w:val="12D74F10"/>
    <w:rsid w:val="12DA66EC"/>
    <w:rsid w:val="13117E16"/>
    <w:rsid w:val="13FE78E1"/>
    <w:rsid w:val="143C0CA7"/>
    <w:rsid w:val="149503B7"/>
    <w:rsid w:val="14B00D4D"/>
    <w:rsid w:val="154E72D0"/>
    <w:rsid w:val="15746899"/>
    <w:rsid w:val="15D373E9"/>
    <w:rsid w:val="1621175F"/>
    <w:rsid w:val="167858C4"/>
    <w:rsid w:val="169661BD"/>
    <w:rsid w:val="18277578"/>
    <w:rsid w:val="188119FA"/>
    <w:rsid w:val="190F56A6"/>
    <w:rsid w:val="19683EB7"/>
    <w:rsid w:val="198E7A93"/>
    <w:rsid w:val="19F03CFF"/>
    <w:rsid w:val="1A044015"/>
    <w:rsid w:val="1A1B4EBB"/>
    <w:rsid w:val="1A84162B"/>
    <w:rsid w:val="1B1E5757"/>
    <w:rsid w:val="1CA70C88"/>
    <w:rsid w:val="1CB702B4"/>
    <w:rsid w:val="1D3F7112"/>
    <w:rsid w:val="1D5B4F54"/>
    <w:rsid w:val="1DE63A32"/>
    <w:rsid w:val="1E117EDD"/>
    <w:rsid w:val="1E441F77"/>
    <w:rsid w:val="1E4E7A7F"/>
    <w:rsid w:val="1F0A5310"/>
    <w:rsid w:val="1F4C059E"/>
    <w:rsid w:val="1F4E3279"/>
    <w:rsid w:val="20087C8F"/>
    <w:rsid w:val="200C59D1"/>
    <w:rsid w:val="204C0C3D"/>
    <w:rsid w:val="2056423F"/>
    <w:rsid w:val="213E05FF"/>
    <w:rsid w:val="21773D7A"/>
    <w:rsid w:val="217770F8"/>
    <w:rsid w:val="21AE1424"/>
    <w:rsid w:val="22846C17"/>
    <w:rsid w:val="233174FD"/>
    <w:rsid w:val="237A259B"/>
    <w:rsid w:val="23D700A4"/>
    <w:rsid w:val="23E56D7D"/>
    <w:rsid w:val="23FE23BA"/>
    <w:rsid w:val="2406098A"/>
    <w:rsid w:val="240929AC"/>
    <w:rsid w:val="240F3DBA"/>
    <w:rsid w:val="24FA6F06"/>
    <w:rsid w:val="263C2C86"/>
    <w:rsid w:val="278C597B"/>
    <w:rsid w:val="28601706"/>
    <w:rsid w:val="287A33A2"/>
    <w:rsid w:val="28BC29B5"/>
    <w:rsid w:val="298F31CF"/>
    <w:rsid w:val="299938F7"/>
    <w:rsid w:val="2A2A76CB"/>
    <w:rsid w:val="2A424211"/>
    <w:rsid w:val="2AB07587"/>
    <w:rsid w:val="2B7A085E"/>
    <w:rsid w:val="2B8E0CFB"/>
    <w:rsid w:val="2BE67804"/>
    <w:rsid w:val="2BFC6B19"/>
    <w:rsid w:val="2C17781A"/>
    <w:rsid w:val="2C5C3460"/>
    <w:rsid w:val="2D4E5E73"/>
    <w:rsid w:val="2DA1183E"/>
    <w:rsid w:val="2DF4189A"/>
    <w:rsid w:val="2FE853E7"/>
    <w:rsid w:val="30161F54"/>
    <w:rsid w:val="30856579"/>
    <w:rsid w:val="30880872"/>
    <w:rsid w:val="30A538AC"/>
    <w:rsid w:val="30FC42A9"/>
    <w:rsid w:val="31140249"/>
    <w:rsid w:val="3115220C"/>
    <w:rsid w:val="315F2CCA"/>
    <w:rsid w:val="32081D71"/>
    <w:rsid w:val="32263DCA"/>
    <w:rsid w:val="327A4D8C"/>
    <w:rsid w:val="32832364"/>
    <w:rsid w:val="32C3778F"/>
    <w:rsid w:val="331309CD"/>
    <w:rsid w:val="33A646DB"/>
    <w:rsid w:val="34E645EB"/>
    <w:rsid w:val="34EE524E"/>
    <w:rsid w:val="34F21181"/>
    <w:rsid w:val="351E3003"/>
    <w:rsid w:val="351F2ABF"/>
    <w:rsid w:val="35A61FCC"/>
    <w:rsid w:val="36146F36"/>
    <w:rsid w:val="36265AA4"/>
    <w:rsid w:val="36B85B13"/>
    <w:rsid w:val="37955E55"/>
    <w:rsid w:val="37CB2D19"/>
    <w:rsid w:val="385E5C3D"/>
    <w:rsid w:val="3862667F"/>
    <w:rsid w:val="38991974"/>
    <w:rsid w:val="38F8669B"/>
    <w:rsid w:val="396E26F8"/>
    <w:rsid w:val="3A582CBB"/>
    <w:rsid w:val="3B037579"/>
    <w:rsid w:val="3B615038"/>
    <w:rsid w:val="3B827A7D"/>
    <w:rsid w:val="3B9A1C8B"/>
    <w:rsid w:val="3BB64DA0"/>
    <w:rsid w:val="3C0C158A"/>
    <w:rsid w:val="3C3379BE"/>
    <w:rsid w:val="3D9055A0"/>
    <w:rsid w:val="3D9F5C7F"/>
    <w:rsid w:val="3E502CEA"/>
    <w:rsid w:val="3E5A1BA6"/>
    <w:rsid w:val="3F487C50"/>
    <w:rsid w:val="3F5A6C55"/>
    <w:rsid w:val="3FAA4467"/>
    <w:rsid w:val="3FB10629"/>
    <w:rsid w:val="3FE150E5"/>
    <w:rsid w:val="3FF332E8"/>
    <w:rsid w:val="401E1246"/>
    <w:rsid w:val="402C384D"/>
    <w:rsid w:val="40583EC3"/>
    <w:rsid w:val="409018AF"/>
    <w:rsid w:val="40A46027"/>
    <w:rsid w:val="415B5034"/>
    <w:rsid w:val="418B716B"/>
    <w:rsid w:val="419C26D1"/>
    <w:rsid w:val="41F71DD8"/>
    <w:rsid w:val="4250579A"/>
    <w:rsid w:val="426923B8"/>
    <w:rsid w:val="43AE57C8"/>
    <w:rsid w:val="43C04259"/>
    <w:rsid w:val="43C34B6E"/>
    <w:rsid w:val="443A4827"/>
    <w:rsid w:val="44DC1567"/>
    <w:rsid w:val="44F248E6"/>
    <w:rsid w:val="44FF34A7"/>
    <w:rsid w:val="451037EC"/>
    <w:rsid w:val="45802CD8"/>
    <w:rsid w:val="45905EAD"/>
    <w:rsid w:val="45C406C9"/>
    <w:rsid w:val="46380221"/>
    <w:rsid w:val="46470C62"/>
    <w:rsid w:val="46686BA9"/>
    <w:rsid w:val="47816DBA"/>
    <w:rsid w:val="47900C7C"/>
    <w:rsid w:val="48732B14"/>
    <w:rsid w:val="489A0563"/>
    <w:rsid w:val="491D5CAA"/>
    <w:rsid w:val="4A1875F7"/>
    <w:rsid w:val="4A9905A1"/>
    <w:rsid w:val="4AEE716F"/>
    <w:rsid w:val="4B0976D0"/>
    <w:rsid w:val="4BAC4521"/>
    <w:rsid w:val="4C620A82"/>
    <w:rsid w:val="4CCC0113"/>
    <w:rsid w:val="4CE21587"/>
    <w:rsid w:val="4DD3102D"/>
    <w:rsid w:val="4E104245"/>
    <w:rsid w:val="4E2D4BE1"/>
    <w:rsid w:val="4EFC4BE0"/>
    <w:rsid w:val="4F505333"/>
    <w:rsid w:val="4F6939F7"/>
    <w:rsid w:val="4FEE029E"/>
    <w:rsid w:val="503E6C32"/>
    <w:rsid w:val="50EA0B67"/>
    <w:rsid w:val="516A3A56"/>
    <w:rsid w:val="520261CB"/>
    <w:rsid w:val="52972F71"/>
    <w:rsid w:val="52E66F2F"/>
    <w:rsid w:val="53BD07B5"/>
    <w:rsid w:val="54195BEC"/>
    <w:rsid w:val="542E4ECF"/>
    <w:rsid w:val="54AB4BAC"/>
    <w:rsid w:val="557F21C6"/>
    <w:rsid w:val="558E388C"/>
    <w:rsid w:val="55DA73FC"/>
    <w:rsid w:val="55FA499A"/>
    <w:rsid w:val="56765154"/>
    <w:rsid w:val="56BD447B"/>
    <w:rsid w:val="56EF053B"/>
    <w:rsid w:val="56F476E3"/>
    <w:rsid w:val="575B27BF"/>
    <w:rsid w:val="57E74053"/>
    <w:rsid w:val="581B26E6"/>
    <w:rsid w:val="58AC5561"/>
    <w:rsid w:val="58B918F4"/>
    <w:rsid w:val="59441031"/>
    <w:rsid w:val="597436C4"/>
    <w:rsid w:val="599A4607"/>
    <w:rsid w:val="59DE3085"/>
    <w:rsid w:val="5A7476F4"/>
    <w:rsid w:val="5AB741B0"/>
    <w:rsid w:val="5B1213E7"/>
    <w:rsid w:val="5B215ACE"/>
    <w:rsid w:val="5B3E5BA1"/>
    <w:rsid w:val="5C1C577A"/>
    <w:rsid w:val="5C8B0F15"/>
    <w:rsid w:val="5C944140"/>
    <w:rsid w:val="5CCB5CF1"/>
    <w:rsid w:val="5D9A2482"/>
    <w:rsid w:val="5DAF73C1"/>
    <w:rsid w:val="5E3873B6"/>
    <w:rsid w:val="5EDD2513"/>
    <w:rsid w:val="5F05573D"/>
    <w:rsid w:val="5F336D14"/>
    <w:rsid w:val="5F3A715E"/>
    <w:rsid w:val="5F4547CB"/>
    <w:rsid w:val="5F9C60CB"/>
    <w:rsid w:val="5FCA193E"/>
    <w:rsid w:val="5FD1473A"/>
    <w:rsid w:val="5FF26ED2"/>
    <w:rsid w:val="5FFE6614"/>
    <w:rsid w:val="60011BE0"/>
    <w:rsid w:val="60593614"/>
    <w:rsid w:val="61891CD7"/>
    <w:rsid w:val="61930DA7"/>
    <w:rsid w:val="61E0688E"/>
    <w:rsid w:val="61E22A53"/>
    <w:rsid w:val="61F335F4"/>
    <w:rsid w:val="626D784A"/>
    <w:rsid w:val="629B6165"/>
    <w:rsid w:val="62DF24F6"/>
    <w:rsid w:val="631D1A35"/>
    <w:rsid w:val="633204A2"/>
    <w:rsid w:val="63CB7896"/>
    <w:rsid w:val="641828C3"/>
    <w:rsid w:val="641C2F86"/>
    <w:rsid w:val="64295840"/>
    <w:rsid w:val="64596EAC"/>
    <w:rsid w:val="64790B2C"/>
    <w:rsid w:val="64966BE4"/>
    <w:rsid w:val="64AB17DA"/>
    <w:rsid w:val="64B93DBA"/>
    <w:rsid w:val="6535464F"/>
    <w:rsid w:val="65EE62D5"/>
    <w:rsid w:val="661D5AE2"/>
    <w:rsid w:val="662720DB"/>
    <w:rsid w:val="669303F0"/>
    <w:rsid w:val="66E04A8F"/>
    <w:rsid w:val="674C7A2E"/>
    <w:rsid w:val="67762CFD"/>
    <w:rsid w:val="67D15973"/>
    <w:rsid w:val="67E45EB9"/>
    <w:rsid w:val="67F66E6C"/>
    <w:rsid w:val="68454530"/>
    <w:rsid w:val="68F50722"/>
    <w:rsid w:val="69415875"/>
    <w:rsid w:val="69670B4F"/>
    <w:rsid w:val="699B18BD"/>
    <w:rsid w:val="6A835585"/>
    <w:rsid w:val="6ACE0AED"/>
    <w:rsid w:val="6C2D6033"/>
    <w:rsid w:val="6C330AFB"/>
    <w:rsid w:val="6C732F89"/>
    <w:rsid w:val="6CA55625"/>
    <w:rsid w:val="6CB26586"/>
    <w:rsid w:val="6D9753AF"/>
    <w:rsid w:val="6D9B34BE"/>
    <w:rsid w:val="6E14127E"/>
    <w:rsid w:val="6E851A78"/>
    <w:rsid w:val="6F0C0811"/>
    <w:rsid w:val="706F5A36"/>
    <w:rsid w:val="707A04B4"/>
    <w:rsid w:val="71153587"/>
    <w:rsid w:val="712E574D"/>
    <w:rsid w:val="71BD69BB"/>
    <w:rsid w:val="71F83439"/>
    <w:rsid w:val="720A17D1"/>
    <w:rsid w:val="73030457"/>
    <w:rsid w:val="73F9517E"/>
    <w:rsid w:val="74537F52"/>
    <w:rsid w:val="74B03E28"/>
    <w:rsid w:val="75822809"/>
    <w:rsid w:val="75A60C51"/>
    <w:rsid w:val="75E1783B"/>
    <w:rsid w:val="76143E0D"/>
    <w:rsid w:val="76AD665C"/>
    <w:rsid w:val="76C621DB"/>
    <w:rsid w:val="76E53975"/>
    <w:rsid w:val="77291B3A"/>
    <w:rsid w:val="77474325"/>
    <w:rsid w:val="77754D7F"/>
    <w:rsid w:val="77787F2E"/>
    <w:rsid w:val="77AB28E1"/>
    <w:rsid w:val="77DC5E02"/>
    <w:rsid w:val="780D6D66"/>
    <w:rsid w:val="78872FBC"/>
    <w:rsid w:val="79463877"/>
    <w:rsid w:val="79E41D48"/>
    <w:rsid w:val="79F118D1"/>
    <w:rsid w:val="7A2111EE"/>
    <w:rsid w:val="7B964B53"/>
    <w:rsid w:val="7C134554"/>
    <w:rsid w:val="7C875499"/>
    <w:rsid w:val="7CB53F15"/>
    <w:rsid w:val="7CE65DD7"/>
    <w:rsid w:val="7D1D5C9D"/>
    <w:rsid w:val="7D7A30EF"/>
    <w:rsid w:val="7DED54C5"/>
    <w:rsid w:val="7E225082"/>
    <w:rsid w:val="7E8C66D5"/>
    <w:rsid w:val="7E9B35F6"/>
    <w:rsid w:val="7F002FBB"/>
    <w:rsid w:val="7F313C82"/>
    <w:rsid w:val="7F3452F5"/>
    <w:rsid w:val="7F3C6183"/>
    <w:rsid w:val="7F6E5334"/>
    <w:rsid w:val="7F835DAA"/>
    <w:rsid w:val="7F9856CC"/>
    <w:rsid w:val="7FA46E32"/>
    <w:rsid w:val="7FB55005"/>
    <w:rsid w:val="7FC76394"/>
    <w:rsid w:val="FD75D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link w:val="27"/>
    <w:unhideWhenUsed/>
    <w:qFormat/>
    <w:uiPriority w:val="99"/>
    <w:pPr>
      <w:spacing w:after="120"/>
    </w:pPr>
  </w:style>
  <w:style w:type="paragraph" w:styleId="5">
    <w:name w:val="Balloon Text"/>
    <w:basedOn w:val="1"/>
    <w:link w:val="18"/>
    <w:unhideWhenUsed/>
    <w:qFormat/>
    <w:uiPriority w:val="99"/>
    <w:rPr>
      <w:sz w:val="18"/>
      <w:szCs w:val="18"/>
    </w:rPr>
  </w:style>
  <w:style w:type="paragraph" w:styleId="6">
    <w:name w:val="footer"/>
    <w:basedOn w:val="1"/>
    <w:link w:val="32"/>
    <w:qFormat/>
    <w:uiPriority w:val="99"/>
    <w:pPr>
      <w:tabs>
        <w:tab w:val="center" w:pos="4153"/>
        <w:tab w:val="right" w:pos="8306"/>
      </w:tabs>
      <w:snapToGrid w:val="0"/>
      <w:jc w:val="left"/>
    </w:pPr>
    <w:rPr>
      <w:kern w:val="0"/>
      <w:sz w:val="18"/>
      <w:szCs w:val="18"/>
    </w:rPr>
  </w:style>
  <w:style w:type="paragraph" w:styleId="7">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99"/>
    <w:pPr>
      <w:spacing w:before="100" w:beforeAutospacing="1" w:after="100" w:afterAutospacing="1"/>
      <w:jc w:val="left"/>
    </w:pPr>
    <w:rPr>
      <w:kern w:val="0"/>
      <w:sz w:val="24"/>
    </w:rPr>
  </w:style>
  <w:style w:type="table" w:styleId="10">
    <w:name w:val="Table Grid"/>
    <w:basedOn w:val="9"/>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段"/>
    <w:link w:val="2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一级条标题"/>
    <w:next w:val="14"/>
    <w:qFormat/>
    <w:uiPriority w:val="0"/>
    <w:pPr>
      <w:tabs>
        <w:tab w:val="left" w:pos="0"/>
      </w:tabs>
      <w:spacing w:beforeLines="50" w:afterLines="50"/>
      <w:outlineLvl w:val="2"/>
    </w:pPr>
    <w:rPr>
      <w:rFonts w:ascii="黑体" w:hAnsi="Times New Roman" w:eastAsia="黑体" w:cs="Times New Roman"/>
      <w:sz w:val="21"/>
      <w:szCs w:val="21"/>
      <w:lang w:val="en-US" w:eastAsia="zh-CN" w:bidi="ar-SA"/>
    </w:rPr>
  </w:style>
  <w:style w:type="paragraph" w:customStyle="1" w:styleId="16">
    <w:name w:val="二级条标题"/>
    <w:basedOn w:val="15"/>
    <w:next w:val="14"/>
    <w:link w:val="30"/>
    <w:qFormat/>
    <w:uiPriority w:val="0"/>
    <w:pPr>
      <w:spacing w:before="50" w:after="50"/>
      <w:outlineLvl w:val="3"/>
    </w:pPr>
    <w:rPr>
      <w:rFonts w:ascii="Times New Roman" w:eastAsia="宋体"/>
    </w:rPr>
  </w:style>
  <w:style w:type="paragraph" w:customStyle="1" w:styleId="17">
    <w:name w:val="三级条标题"/>
    <w:basedOn w:val="1"/>
    <w:next w:val="14"/>
    <w:qFormat/>
    <w:uiPriority w:val="0"/>
    <w:pPr>
      <w:numPr>
        <w:ilvl w:val="3"/>
        <w:numId w:val="2"/>
      </w:numPr>
    </w:pPr>
  </w:style>
  <w:style w:type="character" w:customStyle="1" w:styleId="18">
    <w:name w:val="批注框文本 字符"/>
    <w:basedOn w:val="11"/>
    <w:link w:val="5"/>
    <w:semiHidden/>
    <w:qFormat/>
    <w:uiPriority w:val="99"/>
    <w:rPr>
      <w:rFonts w:ascii="Times New Roman" w:hAnsi="Times New Roman" w:eastAsia="宋体" w:cs="Times New Roman"/>
      <w:sz w:val="18"/>
      <w:szCs w:val="18"/>
    </w:rPr>
  </w:style>
  <w:style w:type="paragraph" w:customStyle="1" w:styleId="19">
    <w:name w:val="前言、引言标题"/>
    <w:next w:val="1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2">
    <w:name w:val="Table Paragraph"/>
    <w:basedOn w:val="1"/>
    <w:qFormat/>
    <w:uiPriority w:val="0"/>
    <w:pPr>
      <w:spacing w:before="160"/>
      <w:jc w:val="center"/>
    </w:pPr>
    <w:rPr>
      <w:rFonts w:ascii="宋体" w:hAnsi="宋体" w:cs="宋体"/>
      <w:lang w:val="zh-CN" w:bidi="zh-CN"/>
    </w:rPr>
  </w:style>
  <w:style w:type="paragraph" w:customStyle="1" w:styleId="23">
    <w:name w:val="四级条标题"/>
    <w:basedOn w:val="1"/>
    <w:next w:val="14"/>
    <w:qFormat/>
    <w:uiPriority w:val="0"/>
    <w:pPr>
      <w:widowControl/>
      <w:tabs>
        <w:tab w:val="left" w:pos="0"/>
      </w:tabs>
      <w:spacing w:beforeLines="50" w:afterLines="50"/>
      <w:ind w:left="315"/>
      <w:jc w:val="left"/>
      <w:outlineLvl w:val="5"/>
    </w:pPr>
    <w:rPr>
      <w:kern w:val="0"/>
      <w:szCs w:val="21"/>
    </w:rPr>
  </w:style>
  <w:style w:type="paragraph" w:customStyle="1" w:styleId="24">
    <w:name w:val="五级条标题"/>
    <w:basedOn w:val="23"/>
    <w:next w:val="14"/>
    <w:qFormat/>
    <w:uiPriority w:val="0"/>
    <w:pPr>
      <w:ind w:left="0"/>
      <w:outlineLvl w:val="6"/>
    </w:pPr>
  </w:style>
  <w:style w:type="paragraph" w:customStyle="1" w:styleId="25">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kern w:val="0"/>
      <w:szCs w:val="28"/>
    </w:rPr>
  </w:style>
  <w:style w:type="paragraph" w:customStyle="1" w:styleId="26">
    <w:name w:val="WW-Table Contents11111111111111111111"/>
    <w:basedOn w:val="4"/>
    <w:qFormat/>
    <w:uiPriority w:val="0"/>
    <w:pPr>
      <w:suppressLineNumbers/>
      <w:suppressAutoHyphens/>
      <w:jc w:val="left"/>
    </w:pPr>
    <w:rPr>
      <w:rFonts w:eastAsia="Lucida Sans Unicode"/>
      <w:kern w:val="0"/>
      <w:sz w:val="24"/>
      <w:szCs w:val="20"/>
    </w:rPr>
  </w:style>
  <w:style w:type="character" w:customStyle="1" w:styleId="27">
    <w:name w:val="正文文本 字符"/>
    <w:basedOn w:val="11"/>
    <w:link w:val="4"/>
    <w:semiHidden/>
    <w:qFormat/>
    <w:uiPriority w:val="99"/>
    <w:rPr>
      <w:kern w:val="2"/>
      <w:sz w:val="21"/>
      <w:szCs w:val="24"/>
    </w:rPr>
  </w:style>
  <w:style w:type="paragraph" w:customStyle="1" w:styleId="28">
    <w:name w:val="二级无"/>
    <w:basedOn w:val="16"/>
    <w:qFormat/>
    <w:uiPriority w:val="0"/>
    <w:pPr>
      <w:tabs>
        <w:tab w:val="left" w:pos="283"/>
      </w:tabs>
      <w:spacing w:beforeLines="0" w:afterLines="0"/>
    </w:pPr>
    <w:rPr>
      <w:rFonts w:ascii="宋体" w:hAnsi="宋体"/>
    </w:rPr>
  </w:style>
  <w:style w:type="character" w:customStyle="1" w:styleId="29">
    <w:name w:val="段 Char"/>
    <w:link w:val="14"/>
    <w:qFormat/>
    <w:uiPriority w:val="0"/>
    <w:rPr>
      <w:rFonts w:ascii="宋体"/>
      <w:sz w:val="21"/>
    </w:rPr>
  </w:style>
  <w:style w:type="character" w:customStyle="1" w:styleId="30">
    <w:name w:val="二级条标题 Char"/>
    <w:link w:val="16"/>
    <w:qFormat/>
    <w:uiPriority w:val="0"/>
    <w:rPr>
      <w:sz w:val="21"/>
      <w:szCs w:val="21"/>
    </w:rPr>
  </w:style>
  <w:style w:type="paragraph" w:customStyle="1" w:styleId="31">
    <w:name w:val="列出段落1"/>
    <w:basedOn w:val="1"/>
    <w:unhideWhenUsed/>
    <w:qFormat/>
    <w:uiPriority w:val="99"/>
    <w:pPr>
      <w:ind w:firstLine="420" w:firstLineChars="200"/>
    </w:pPr>
  </w:style>
  <w:style w:type="character" w:customStyle="1" w:styleId="32">
    <w:name w:val="页脚 字符"/>
    <w:basedOn w:val="11"/>
    <w:link w:val="6"/>
    <w:qFormat/>
    <w:uiPriority w:val="99"/>
    <w:rPr>
      <w:rFonts w:ascii="Times New Roman" w:hAnsi="Times New Roman"/>
      <w:sz w:val="18"/>
      <w:szCs w:val="18"/>
    </w:rPr>
  </w:style>
  <w:style w:type="paragraph" w:styleId="33">
    <w:name w:val="List Paragraph"/>
    <w:basedOn w:val="1"/>
    <w:qFormat/>
    <w:uiPriority w:val="34"/>
    <w:pPr>
      <w:ind w:firstLine="420" w:firstLineChars="200"/>
    </w:pPr>
  </w:style>
  <w:style w:type="paragraph" w:customStyle="1" w:styleId="34">
    <w:name w:val="三级无"/>
    <w:basedOn w:val="17"/>
    <w:qFormat/>
    <w:uiPriority w:val="0"/>
    <w:rPr>
      <w:rFonts w:ascii="宋体"/>
    </w:rPr>
  </w:style>
  <w:style w:type="paragraph" w:customStyle="1" w:styleId="35">
    <w:name w:val="一级无"/>
    <w:basedOn w:val="15"/>
    <w:qFormat/>
    <w:uiPriority w:val="0"/>
    <w:pPr>
      <w:spacing w:beforeLines="0" w:afterLines="0"/>
    </w:pPr>
    <w:rPr>
      <w:rFonts w:ascii="宋体" w:eastAsia="宋体"/>
    </w:rPr>
  </w:style>
  <w:style w:type="paragraph" w:customStyle="1" w:styleId="36">
    <w:name w:val="终结线"/>
    <w:basedOn w:val="1"/>
    <w:qFormat/>
    <w:uiPriority w:val="0"/>
    <w:pPr>
      <w:framePr w:hSpace="181" w:vSpace="181" w:wrap="around" w:vAnchor="text" w:hAnchor="margin" w:xAlign="center" w:y="285"/>
    </w:pPr>
  </w:style>
  <w:style w:type="paragraph" w:customStyle="1" w:styleId="37">
    <w:name w:val="正文表标题"/>
    <w:next w:val="14"/>
    <w:qFormat/>
    <w:uiPriority w:val="0"/>
    <w:pPr>
      <w:numPr>
        <w:ilvl w:val="0"/>
        <w:numId w:val="3"/>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38">
    <w:name w:val="页眉 字符"/>
    <w:basedOn w:val="11"/>
    <w:link w:val="7"/>
    <w:qFormat/>
    <w:uiPriority w:val="99"/>
    <w:rPr>
      <w:sz w:val="18"/>
      <w:szCs w:val="18"/>
    </w:rPr>
  </w:style>
  <w:style w:type="character" w:customStyle="1" w:styleId="39">
    <w:name w:val="font11"/>
    <w:basedOn w:val="11"/>
    <w:qFormat/>
    <w:uiPriority w:val="0"/>
    <w:rPr>
      <w:rFonts w:ascii="TimesNewRomanPSMT" w:hAnsi="TimesNewRomanPSMT" w:eastAsia="TimesNewRomanPSMT" w:cs="TimesNewRomanPSMT"/>
      <w:color w:val="000000"/>
      <w:sz w:val="24"/>
      <w:szCs w:val="24"/>
      <w:u w:val="none"/>
    </w:rPr>
  </w:style>
  <w:style w:type="character" w:customStyle="1" w:styleId="40">
    <w:name w:val="font21"/>
    <w:basedOn w:val="11"/>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8483</Words>
  <Characters>9260</Characters>
  <Lines>55</Lines>
  <Paragraphs>15</Paragraphs>
  <TotalTime>0</TotalTime>
  <ScaleCrop>false</ScaleCrop>
  <LinksUpToDate>false</LinksUpToDate>
  <CharactersWithSpaces>9443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2022-10-22T22:52:00Z</dcterms:created>
  <dc:creator>dell</dc:creator>
  <cp:lastModifiedBy>lenovo</cp:lastModifiedBy>
  <cp:lastPrinted>2020-11-16T15:32:00Z</cp:lastPrinted>
  <dcterms:modified xsi:type="dcterms:W3CDTF">2022-10-25T04:07:07Z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EBB06B2C7643493AB5BAC19D1287DFFD</vt:lpwstr>
  </property>
</Properties>
</file>